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10E39" w14:textId="74AA9D16" w:rsidR="003B6E7B" w:rsidRDefault="00D048ED" w:rsidP="003B6E7B">
      <w:pPr>
        <w:tabs>
          <w:tab w:val="right" w:pos="10440"/>
          <w:tab w:val="right" w:pos="13323"/>
        </w:tabs>
        <w:spacing w:after="0"/>
        <w:rPr>
          <w:rFonts w:ascii="Arial" w:hAnsi="Arial"/>
          <w:b/>
          <w:noProof/>
          <w:sz w:val="24"/>
          <w:lang w:eastAsia="zh-CN"/>
        </w:rPr>
      </w:pPr>
      <w:bookmarkStart w:id="0" w:name="OLE_LINK4"/>
      <w:bookmarkStart w:id="1" w:name="OLE_LINK50"/>
      <w:bookmarkStart w:id="2" w:name="_Toc481653327"/>
      <w:bookmarkStart w:id="3" w:name="_Toc519094990"/>
      <w:bookmarkStart w:id="4" w:name="_Toc481570476"/>
      <w:bookmarkStart w:id="5" w:name="historyclause"/>
      <w:r w:rsidRPr="00ED7131">
        <w:rPr>
          <w:rFonts w:ascii="Arial" w:eastAsia="Times New Roman" w:hAnsi="Arial"/>
          <w:b/>
          <w:noProof/>
          <w:sz w:val="24"/>
        </w:rPr>
        <w:t>3GPP T</w:t>
      </w:r>
      <w:r w:rsidR="008E79DC">
        <w:rPr>
          <w:rFonts w:ascii="Arial" w:eastAsia="Times New Roman" w:hAnsi="Arial"/>
          <w:b/>
          <w:noProof/>
          <w:sz w:val="24"/>
        </w:rPr>
        <w:t>SG-RAN WG4 Meeting #96-e</w:t>
      </w:r>
      <w:r w:rsidR="007B1D4E">
        <w:rPr>
          <w:rFonts w:ascii="Arial" w:eastAsia="Times New Roman" w:hAnsi="Arial"/>
          <w:b/>
          <w:noProof/>
          <w:sz w:val="24"/>
        </w:rPr>
        <w:tab/>
      </w:r>
      <w:r w:rsidR="007B1D4E" w:rsidRPr="007B1D4E">
        <w:rPr>
          <w:rFonts w:ascii="Arial" w:eastAsia="Times New Roman" w:hAnsi="Arial"/>
          <w:b/>
          <w:noProof/>
          <w:sz w:val="24"/>
        </w:rPr>
        <w:t>R4-</w:t>
      </w:r>
      <w:r w:rsidR="008E79DC">
        <w:rPr>
          <w:rFonts w:ascii="Arial" w:eastAsia="Times New Roman" w:hAnsi="Arial"/>
          <w:b/>
          <w:noProof/>
          <w:sz w:val="24"/>
        </w:rPr>
        <w:t>20</w:t>
      </w:r>
      <w:bookmarkEnd w:id="0"/>
      <w:r w:rsidR="00B83D7E">
        <w:rPr>
          <w:rFonts w:ascii="Arial" w:eastAsia="Times New Roman" w:hAnsi="Arial"/>
          <w:b/>
          <w:noProof/>
          <w:sz w:val="24"/>
        </w:rPr>
        <w:t>10504</w:t>
      </w:r>
    </w:p>
    <w:p w14:paraId="671B54DA" w14:textId="0CAB61E6" w:rsidR="003B6E7B" w:rsidRPr="003B6E7B" w:rsidRDefault="003B6E7B" w:rsidP="003B6E7B">
      <w:pPr>
        <w:tabs>
          <w:tab w:val="right" w:pos="10440"/>
          <w:tab w:val="right" w:pos="13323"/>
        </w:tabs>
        <w:spacing w:after="0"/>
        <w:rPr>
          <w:rFonts w:ascii="Arial" w:hAnsi="Arial"/>
          <w:b/>
          <w:noProof/>
          <w:sz w:val="24"/>
          <w:lang w:eastAsia="zh-CN"/>
        </w:rPr>
      </w:pPr>
      <w:r w:rsidRPr="00054954">
        <w:rPr>
          <w:rFonts w:ascii="Arial" w:hAnsi="Arial" w:cs="Arial"/>
          <w:b/>
          <w:sz w:val="24"/>
          <w:szCs w:val="24"/>
          <w:lang w:val="en-US"/>
        </w:rPr>
        <w:t>Electronic Meeting, 17-28 Aug., 2020</w:t>
      </w:r>
    </w:p>
    <w:bookmarkEnd w:id="1"/>
    <w:p w14:paraId="47275D22" w14:textId="77777777" w:rsidR="002626EA" w:rsidRPr="002960E7"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04D65F15"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B83D7E" w:rsidRPr="00B83D7E">
        <w:rPr>
          <w:rFonts w:ascii="Arial" w:hAnsi="Arial" w:cs="Arial"/>
          <w:sz w:val="22"/>
          <w:szCs w:val="22"/>
        </w:rPr>
        <w:t>Overview on introduction of channel bandwidths 35MHz and 45MHz for UE</w:t>
      </w:r>
    </w:p>
    <w:p w14:paraId="5AD1E9CC" w14:textId="501FADEA"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83D7E">
        <w:rPr>
          <w:rFonts w:ascii="Arial" w:hAnsi="Arial" w:cs="Arial"/>
          <w:color w:val="000000" w:themeColor="text1"/>
          <w:sz w:val="22"/>
          <w:szCs w:val="22"/>
        </w:rPr>
        <w:t>10.18</w:t>
      </w:r>
      <w:r w:rsidR="008E79DC">
        <w:rPr>
          <w:rFonts w:ascii="Arial" w:hAnsi="Arial" w:cs="Arial"/>
          <w:color w:val="000000" w:themeColor="text1"/>
          <w:sz w:val="22"/>
          <w:szCs w:val="22"/>
        </w:rPr>
        <w:t>.</w:t>
      </w:r>
      <w:r w:rsidR="00B83D7E">
        <w:rPr>
          <w:rFonts w:ascii="Arial" w:hAnsi="Arial" w:cs="Arial"/>
          <w:color w:val="000000" w:themeColor="text1"/>
          <w:sz w:val="22"/>
          <w:szCs w:val="22"/>
        </w:rPr>
        <w:t>3</w:t>
      </w:r>
      <w:bookmarkStart w:id="6" w:name="_GoBack"/>
      <w:bookmarkEnd w:id="6"/>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color w:val="000000" w:themeColor="text1"/>
          <w:sz w:val="28"/>
          <w:szCs w:val="28"/>
        </w:rPr>
      </w:pPr>
      <w:r>
        <w:rPr>
          <w:color w:val="000000" w:themeColor="text1"/>
          <w:sz w:val="28"/>
          <w:szCs w:val="28"/>
        </w:rPr>
        <w:t>1</w:t>
      </w:r>
      <w:r>
        <w:rPr>
          <w:color w:val="000000" w:themeColor="text1"/>
          <w:sz w:val="28"/>
          <w:szCs w:val="28"/>
        </w:rPr>
        <w:tab/>
      </w:r>
      <w:r w:rsidR="00F658EE" w:rsidRPr="00F658EE">
        <w:rPr>
          <w:color w:val="000000" w:themeColor="text1"/>
          <w:sz w:val="28"/>
          <w:szCs w:val="28"/>
        </w:rPr>
        <w:t>Introduction</w:t>
      </w:r>
    </w:p>
    <w:p w14:paraId="49AFCA25" w14:textId="3C9027C2" w:rsidR="00224CCC" w:rsidRDefault="00224CCC" w:rsidP="00224CCC">
      <w:r>
        <w:rPr>
          <w:rFonts w:eastAsia="Symbol"/>
        </w:rPr>
        <w:t>A n</w:t>
      </w:r>
      <w:r>
        <w:t>ew WI</w:t>
      </w:r>
      <w:r w:rsidRPr="007B3C01">
        <w:t xml:space="preserve"> on </w:t>
      </w:r>
      <w:r w:rsidRPr="00F16D07">
        <w:t>introduction of channel bandwidths 35MHz and 45MHz for NR</w:t>
      </w:r>
      <w:r>
        <w:t xml:space="preserve"> was approved in RAN#88-e [1]. </w:t>
      </w:r>
      <w:bookmarkStart w:id="7" w:name="OLE_LINK58"/>
      <w:r>
        <w:t xml:space="preserve">This contribution provides an </w:t>
      </w:r>
      <w:r w:rsidR="00301AC5">
        <w:t>overview on</w:t>
      </w:r>
      <w:r>
        <w:t xml:space="preserve"> UE RF requirements</w:t>
      </w:r>
      <w:r w:rsidRPr="005778B1">
        <w:t xml:space="preserve"> for 35MHz and 45MHz</w:t>
      </w:r>
      <w:r>
        <w:t>.</w:t>
      </w:r>
      <w:bookmarkEnd w:id="7"/>
    </w:p>
    <w:p w14:paraId="2C958349" w14:textId="42CFFF31" w:rsidR="00271A32" w:rsidRDefault="00271A32" w:rsidP="00271A32">
      <w:pPr>
        <w:numPr>
          <w:ilvl w:val="0"/>
          <w:numId w:val="13"/>
        </w:numPr>
        <w:spacing w:after="0"/>
        <w:rPr>
          <w:lang w:eastAsia="ko-KR"/>
        </w:rPr>
      </w:pPr>
      <w:r>
        <w:rPr>
          <w:lang w:eastAsia="zh-CN"/>
        </w:rPr>
        <w:t xml:space="preserve">35MHz for NR band </w:t>
      </w:r>
      <w:r w:rsidRPr="0021231A">
        <w:rPr>
          <w:lang w:eastAsia="ko-KR"/>
        </w:rPr>
        <w:t xml:space="preserve">n3, </w:t>
      </w:r>
      <w:r w:rsidRPr="006B76BC">
        <w:rPr>
          <w:lang w:eastAsia="ko-KR"/>
        </w:rPr>
        <w:t>n7,</w:t>
      </w:r>
      <w:r>
        <w:rPr>
          <w:lang w:eastAsia="ko-KR"/>
        </w:rPr>
        <w:t xml:space="preserve"> </w:t>
      </w:r>
      <w:r w:rsidRPr="0021231A">
        <w:rPr>
          <w:lang w:eastAsia="ko-KR"/>
        </w:rPr>
        <w:t>n8, n25, n66</w:t>
      </w:r>
      <w:r>
        <w:rPr>
          <w:lang w:eastAsia="ko-KR"/>
        </w:rPr>
        <w:t>, n71</w:t>
      </w:r>
    </w:p>
    <w:p w14:paraId="7EDA5CB6" w14:textId="77777777" w:rsidR="00271A32" w:rsidRDefault="00271A32" w:rsidP="00271A32">
      <w:pPr>
        <w:numPr>
          <w:ilvl w:val="0"/>
          <w:numId w:val="13"/>
        </w:numPr>
        <w:spacing w:after="0"/>
        <w:rPr>
          <w:lang w:eastAsia="ko-KR"/>
        </w:rPr>
      </w:pPr>
      <w:r>
        <w:rPr>
          <w:lang w:eastAsia="ko-KR"/>
        </w:rPr>
        <w:t>45MHz for NR band n3, n25, n66.</w:t>
      </w:r>
    </w:p>
    <w:p w14:paraId="19F6CFFB" w14:textId="77777777" w:rsidR="00271A32" w:rsidRPr="00271A32" w:rsidRDefault="00271A32" w:rsidP="00224CCC"/>
    <w:p w14:paraId="2CD00373" w14:textId="6C4CB8F4" w:rsidR="007D783A" w:rsidRDefault="007D783A" w:rsidP="00F53E53">
      <w:pPr>
        <w:pStyle w:val="10"/>
        <w:tabs>
          <w:tab w:val="num" w:pos="432"/>
        </w:tabs>
        <w:ind w:left="432" w:hanging="432"/>
        <w:rPr>
          <w:color w:val="000000" w:themeColor="text1"/>
          <w:sz w:val="28"/>
          <w:szCs w:val="28"/>
        </w:rPr>
      </w:pPr>
      <w:r w:rsidRPr="004D6A17">
        <w:rPr>
          <w:color w:val="000000" w:themeColor="text1"/>
          <w:sz w:val="28"/>
          <w:szCs w:val="28"/>
        </w:rPr>
        <w:t>2</w:t>
      </w:r>
      <w:r w:rsidRPr="004D6A17">
        <w:rPr>
          <w:color w:val="000000" w:themeColor="text1"/>
          <w:sz w:val="28"/>
          <w:szCs w:val="28"/>
        </w:rPr>
        <w:tab/>
        <w:t>Discussion</w:t>
      </w:r>
    </w:p>
    <w:p w14:paraId="03F7D0BA" w14:textId="632B517F" w:rsidR="00EE24A0" w:rsidRDefault="00224CCC" w:rsidP="00301AC5">
      <w:pPr>
        <w:rPr>
          <w:lang w:eastAsia="zh-CN"/>
        </w:rPr>
      </w:pPr>
      <w:r>
        <w:rPr>
          <w:lang w:eastAsia="zh-CN"/>
        </w:rPr>
        <w:t>The common part for both BS and UE is SU which is discussed in [2].</w:t>
      </w:r>
      <w:r w:rsidR="00EE24A0">
        <w:rPr>
          <w:lang w:eastAsia="zh-CN"/>
        </w:rPr>
        <w:t xml:space="preserve"> Based on the outcome of discussion on SU, </w:t>
      </w:r>
      <w:r w:rsidR="00271A32">
        <w:rPr>
          <w:lang w:eastAsia="ja-JP"/>
        </w:rPr>
        <w:t>m</w:t>
      </w:r>
      <w:r w:rsidR="00EE24A0" w:rsidRPr="00EE24A0">
        <w:rPr>
          <w:lang w:val="x-none" w:eastAsia="ja-JP"/>
        </w:rPr>
        <w:t>aximum transmission bandwidth configuration</w:t>
      </w:r>
      <w:r w:rsidR="00EE24A0">
        <w:rPr>
          <w:lang w:val="x-none" w:eastAsia="ja-JP"/>
        </w:rPr>
        <w:t xml:space="preserve"> and minimum guardband can be derived.</w:t>
      </w:r>
    </w:p>
    <w:p w14:paraId="09763556" w14:textId="42C5BDC1" w:rsidR="00301AC5" w:rsidRPr="00984DCE" w:rsidRDefault="00301AC5" w:rsidP="00301AC5">
      <w:pPr>
        <w:rPr>
          <w:rFonts w:eastAsia="Symbol"/>
        </w:rPr>
      </w:pPr>
      <w:r>
        <w:rPr>
          <w:rFonts w:eastAsia="Symbol"/>
        </w:rPr>
        <w:t>On UE RF aspect, t</w:t>
      </w:r>
      <w:r w:rsidRPr="00984DCE">
        <w:rPr>
          <w:rFonts w:eastAsia="Symbol"/>
        </w:rPr>
        <w:t xml:space="preserve">he </w:t>
      </w:r>
      <w:r>
        <w:rPr>
          <w:rFonts w:eastAsia="Symbol"/>
        </w:rPr>
        <w:t>requirements</w:t>
      </w:r>
      <w:r w:rsidRPr="00984DCE">
        <w:rPr>
          <w:rFonts w:eastAsia="Symbol"/>
        </w:rPr>
        <w:t xml:space="preserve"> can be divided into </w:t>
      </w:r>
      <w:r>
        <w:rPr>
          <w:rFonts w:eastAsia="Symbol"/>
        </w:rPr>
        <w:t>2</w:t>
      </w:r>
      <w:r w:rsidRPr="00984DCE">
        <w:rPr>
          <w:rFonts w:eastAsia="Symbol"/>
        </w:rPr>
        <w:t xml:space="preserve"> parts:</w:t>
      </w:r>
    </w:p>
    <w:p w14:paraId="5BBE23C0" w14:textId="77777777" w:rsidR="00301AC5" w:rsidRPr="00301AC5" w:rsidRDefault="00301AC5" w:rsidP="00301AC5">
      <w:pPr>
        <w:numPr>
          <w:ilvl w:val="0"/>
          <w:numId w:val="12"/>
        </w:numPr>
        <w:rPr>
          <w:rFonts w:eastAsia="Symbol"/>
          <w:lang w:val="en-US"/>
        </w:rPr>
      </w:pPr>
      <w:r w:rsidRPr="00301AC5">
        <w:rPr>
          <w:rFonts w:eastAsia="Symbol"/>
          <w:lang w:val="en-US"/>
        </w:rPr>
        <w:t>UE RF general requirements for TX and RX</w:t>
      </w:r>
    </w:p>
    <w:p w14:paraId="2C9DA949" w14:textId="77777777" w:rsidR="00301AC5" w:rsidRPr="00301AC5" w:rsidRDefault="00301AC5" w:rsidP="00301AC5">
      <w:pPr>
        <w:numPr>
          <w:ilvl w:val="0"/>
          <w:numId w:val="12"/>
        </w:numPr>
        <w:rPr>
          <w:rFonts w:eastAsia="Symbol"/>
          <w:lang w:val="en-US"/>
        </w:rPr>
      </w:pPr>
      <w:r w:rsidRPr="00301AC5">
        <w:rPr>
          <w:rFonts w:eastAsia="Symbol"/>
          <w:lang w:val="en-US"/>
        </w:rPr>
        <w:t>Band specific requirements</w:t>
      </w:r>
    </w:p>
    <w:p w14:paraId="6B2F64CD" w14:textId="4A2D685D" w:rsidR="00271A32" w:rsidRPr="00271A32" w:rsidRDefault="00271A32" w:rsidP="00271A32">
      <w:pPr>
        <w:numPr>
          <w:ilvl w:val="1"/>
          <w:numId w:val="12"/>
        </w:numPr>
        <w:rPr>
          <w:rFonts w:eastAsia="Symbol"/>
          <w:lang w:val="en-US"/>
        </w:rPr>
      </w:pPr>
      <w:r w:rsidRPr="00271A32">
        <w:rPr>
          <w:rFonts w:eastAsia="Symbol"/>
          <w:lang w:val="en-US"/>
        </w:rPr>
        <w:t>UE Channel bandwidth per operating band</w:t>
      </w:r>
    </w:p>
    <w:p w14:paraId="7F216FE7" w14:textId="77777777" w:rsidR="00301AC5" w:rsidRPr="00301AC5" w:rsidRDefault="00301AC5" w:rsidP="00301AC5">
      <w:pPr>
        <w:numPr>
          <w:ilvl w:val="1"/>
          <w:numId w:val="12"/>
        </w:numPr>
        <w:rPr>
          <w:rFonts w:eastAsia="Symbol"/>
          <w:lang w:val="en-US"/>
        </w:rPr>
      </w:pPr>
      <w:r w:rsidRPr="00301AC5">
        <w:rPr>
          <w:rFonts w:eastAsia="Symbol"/>
          <w:lang w:val="en-US"/>
        </w:rPr>
        <w:t>UE</w:t>
      </w:r>
      <w:bookmarkStart w:id="8" w:name="OLE_LINK8"/>
      <w:bookmarkStart w:id="9" w:name="OLE_LINK9"/>
      <w:r w:rsidRPr="00301AC5">
        <w:rPr>
          <w:rFonts w:eastAsia="Symbol"/>
          <w:lang w:val="en-US"/>
        </w:rPr>
        <w:t xml:space="preserve"> reference sensitivity</w:t>
      </w:r>
      <w:bookmarkEnd w:id="8"/>
      <w:bookmarkEnd w:id="9"/>
    </w:p>
    <w:p w14:paraId="40CEDDA4" w14:textId="77777777" w:rsidR="00301AC5" w:rsidRPr="00301AC5" w:rsidRDefault="00301AC5" w:rsidP="00301AC5">
      <w:pPr>
        <w:numPr>
          <w:ilvl w:val="1"/>
          <w:numId w:val="12"/>
        </w:numPr>
        <w:rPr>
          <w:rFonts w:eastAsia="Symbol"/>
          <w:lang w:val="en-US"/>
        </w:rPr>
      </w:pPr>
      <w:r w:rsidRPr="00301AC5">
        <w:rPr>
          <w:rFonts w:eastAsia="Symbol"/>
          <w:lang w:val="en-US"/>
        </w:rPr>
        <w:t>When needed:</w:t>
      </w:r>
    </w:p>
    <w:p w14:paraId="5B19A5A2" w14:textId="77777777" w:rsidR="00301AC5" w:rsidRPr="00301AC5" w:rsidRDefault="00301AC5" w:rsidP="00301AC5">
      <w:pPr>
        <w:numPr>
          <w:ilvl w:val="2"/>
          <w:numId w:val="12"/>
        </w:numPr>
        <w:rPr>
          <w:rFonts w:eastAsia="Symbol"/>
          <w:lang w:val="en-US"/>
        </w:rPr>
      </w:pPr>
      <w:r w:rsidRPr="00301AC5">
        <w:rPr>
          <w:rFonts w:eastAsia="Symbol"/>
          <w:lang w:val="en-US"/>
        </w:rPr>
        <w:t>MPR (relative bandwidth criteria)</w:t>
      </w:r>
    </w:p>
    <w:p w14:paraId="01F41584" w14:textId="77777777" w:rsidR="00301AC5" w:rsidRPr="00301AC5" w:rsidRDefault="00301AC5" w:rsidP="00301AC5">
      <w:pPr>
        <w:numPr>
          <w:ilvl w:val="2"/>
          <w:numId w:val="12"/>
        </w:numPr>
        <w:rPr>
          <w:rFonts w:eastAsia="Symbol"/>
          <w:lang w:val="en-US"/>
        </w:rPr>
      </w:pPr>
      <w:r w:rsidRPr="00301AC5">
        <w:rPr>
          <w:rFonts w:eastAsia="Symbol"/>
          <w:lang w:val="en-US"/>
        </w:rPr>
        <w:t>Additional Maximum Power Reduction (A-MPR)</w:t>
      </w:r>
    </w:p>
    <w:p w14:paraId="277DA9DD" w14:textId="3A425917" w:rsidR="00224CCC" w:rsidRPr="00301AC5" w:rsidRDefault="00301AC5" w:rsidP="008E161D">
      <w:pPr>
        <w:spacing w:after="0"/>
        <w:rPr>
          <w:lang w:val="en-US" w:eastAsia="zh-CN"/>
        </w:rPr>
      </w:pPr>
      <w:r>
        <w:rPr>
          <w:lang w:val="en-US" w:eastAsia="zh-CN"/>
        </w:rPr>
        <w:t xml:space="preserve">On UE RF general requirements perspective, </w:t>
      </w:r>
      <w:r w:rsidR="00EE24A0">
        <w:rPr>
          <w:lang w:val="en-US" w:eastAsia="zh-CN"/>
        </w:rPr>
        <w:t>the following sub-clauses are expected to be updated for the addition of 3</w:t>
      </w:r>
      <w:r w:rsidR="00271A32">
        <w:rPr>
          <w:lang w:val="en-US" w:eastAsia="zh-CN"/>
        </w:rPr>
        <w:t>5 and 45 MHz channel bandwidths, which should not be controversial and can be reviewed at the CR drafting phase.</w:t>
      </w:r>
    </w:p>
    <w:p w14:paraId="1AEA5123" w14:textId="77777777" w:rsidR="00224CCC" w:rsidRPr="00224CCC" w:rsidRDefault="00224CCC" w:rsidP="008E161D">
      <w:pPr>
        <w:spacing w:after="0"/>
        <w:rPr>
          <w:lang w:eastAsia="zh-CN"/>
        </w:rPr>
      </w:pPr>
    </w:p>
    <w:p w14:paraId="14F663DC" w14:textId="77777777" w:rsidR="00143775" w:rsidRPr="00EE24A0" w:rsidRDefault="003F4911" w:rsidP="00EC759F">
      <w:pPr>
        <w:pStyle w:val="3GPP"/>
        <w:numPr>
          <w:ilvl w:val="0"/>
          <w:numId w:val="15"/>
        </w:numPr>
      </w:pPr>
      <w:r w:rsidRPr="00EE24A0">
        <w:t>6.3.2</w:t>
      </w:r>
      <w:r w:rsidRPr="00EE24A0">
        <w:tab/>
        <w:t>Transmit OFF power</w:t>
      </w:r>
      <w:bookmarkStart w:id="10" w:name="_Toc37251392"/>
      <w:bookmarkStart w:id="11" w:name="_Toc36107626"/>
      <w:bookmarkStart w:id="12" w:name="_Toc29802884"/>
      <w:bookmarkStart w:id="13" w:name="_Toc29802259"/>
      <w:bookmarkStart w:id="14" w:name="_Toc29801835"/>
      <w:bookmarkStart w:id="15" w:name="_Toc21344349"/>
    </w:p>
    <w:p w14:paraId="7D8330D3" w14:textId="77777777" w:rsidR="00143775" w:rsidRDefault="003F4911" w:rsidP="00EC759F">
      <w:pPr>
        <w:pStyle w:val="3GPP"/>
        <w:numPr>
          <w:ilvl w:val="0"/>
          <w:numId w:val="15"/>
        </w:numPr>
      </w:pPr>
      <w:r>
        <w:t>6.5.1</w:t>
      </w:r>
      <w:r>
        <w:tab/>
        <w:t>Occupied bandwidth</w:t>
      </w:r>
      <w:bookmarkStart w:id="16" w:name="_Toc37251395"/>
      <w:bookmarkStart w:id="17" w:name="_Toc36107629"/>
      <w:bookmarkStart w:id="18" w:name="_Toc29802887"/>
      <w:bookmarkStart w:id="19" w:name="_Toc29802262"/>
      <w:bookmarkStart w:id="20" w:name="_Toc29801838"/>
      <w:bookmarkStart w:id="21" w:name="_Toc21344352"/>
      <w:bookmarkEnd w:id="10"/>
      <w:bookmarkEnd w:id="11"/>
      <w:bookmarkEnd w:id="12"/>
      <w:bookmarkEnd w:id="13"/>
      <w:bookmarkEnd w:id="14"/>
      <w:bookmarkEnd w:id="15"/>
    </w:p>
    <w:p w14:paraId="132247A4" w14:textId="77777777" w:rsidR="00143775" w:rsidRDefault="008D3942" w:rsidP="00EC759F">
      <w:pPr>
        <w:pStyle w:val="3GPP"/>
        <w:numPr>
          <w:ilvl w:val="0"/>
          <w:numId w:val="15"/>
        </w:numPr>
      </w:pPr>
      <w:r>
        <w:t>6.5.2.2</w:t>
      </w:r>
      <w:r>
        <w:tab/>
        <w:t>Spectrum emission mask</w:t>
      </w:r>
      <w:bookmarkStart w:id="22" w:name="_Toc37251405"/>
      <w:bookmarkStart w:id="23" w:name="_Toc36107639"/>
      <w:bookmarkStart w:id="24" w:name="_Toc29802897"/>
      <w:bookmarkStart w:id="25" w:name="_Toc29802272"/>
      <w:bookmarkStart w:id="26" w:name="_Toc29801848"/>
      <w:bookmarkStart w:id="27" w:name="_Toc21344362"/>
      <w:bookmarkEnd w:id="16"/>
      <w:bookmarkEnd w:id="17"/>
      <w:bookmarkEnd w:id="18"/>
      <w:bookmarkEnd w:id="19"/>
      <w:bookmarkEnd w:id="20"/>
      <w:bookmarkEnd w:id="21"/>
    </w:p>
    <w:p w14:paraId="675496EA" w14:textId="77777777" w:rsidR="00143775" w:rsidRPr="00EE24A0" w:rsidRDefault="008D3942" w:rsidP="00EC759F">
      <w:pPr>
        <w:pStyle w:val="3GPP"/>
        <w:numPr>
          <w:ilvl w:val="0"/>
          <w:numId w:val="15"/>
        </w:numPr>
      </w:pPr>
      <w:r w:rsidRPr="00EE24A0">
        <w:t>6.5.2.4</w:t>
      </w:r>
      <w:r w:rsidRPr="00EE24A0">
        <w:tab/>
        <w:t>Adjacent channel leakage ratio</w:t>
      </w:r>
      <w:bookmarkStart w:id="28" w:name="_Toc37251482"/>
      <w:bookmarkStart w:id="29" w:name="_Toc36107708"/>
      <w:bookmarkStart w:id="30" w:name="_Toc29802966"/>
      <w:bookmarkStart w:id="31" w:name="_Toc29802341"/>
      <w:bookmarkStart w:id="32" w:name="_Toc29801917"/>
      <w:bookmarkStart w:id="33" w:name="_Toc21344430"/>
      <w:bookmarkEnd w:id="22"/>
      <w:bookmarkEnd w:id="23"/>
      <w:bookmarkEnd w:id="24"/>
      <w:bookmarkEnd w:id="25"/>
      <w:bookmarkEnd w:id="26"/>
      <w:bookmarkEnd w:id="27"/>
    </w:p>
    <w:bookmarkEnd w:id="28"/>
    <w:bookmarkEnd w:id="29"/>
    <w:bookmarkEnd w:id="30"/>
    <w:bookmarkEnd w:id="31"/>
    <w:bookmarkEnd w:id="32"/>
    <w:bookmarkEnd w:id="33"/>
    <w:p w14:paraId="5BE9844F" w14:textId="77777777" w:rsidR="00143775" w:rsidRDefault="008D3942" w:rsidP="00EC759F">
      <w:pPr>
        <w:pStyle w:val="3GPP"/>
        <w:numPr>
          <w:ilvl w:val="0"/>
          <w:numId w:val="15"/>
        </w:numPr>
      </w:pPr>
      <w:r>
        <w:t>7.4</w:t>
      </w:r>
      <w:r>
        <w:tab/>
        <w:t>Maximum input level</w:t>
      </w:r>
    </w:p>
    <w:p w14:paraId="655B8EE3" w14:textId="77777777" w:rsidR="00143775" w:rsidRDefault="008D3942" w:rsidP="00EC759F">
      <w:pPr>
        <w:pStyle w:val="3GPP"/>
        <w:numPr>
          <w:ilvl w:val="0"/>
          <w:numId w:val="15"/>
        </w:numPr>
      </w:pPr>
      <w:r>
        <w:t>7.5</w:t>
      </w:r>
      <w:r>
        <w:tab/>
        <w:t>Adjacent channel selectivity</w:t>
      </w:r>
    </w:p>
    <w:p w14:paraId="00033D5D" w14:textId="77777777" w:rsidR="00143775" w:rsidRDefault="008D3942" w:rsidP="00EC759F">
      <w:pPr>
        <w:pStyle w:val="3GPP"/>
        <w:numPr>
          <w:ilvl w:val="0"/>
          <w:numId w:val="15"/>
        </w:numPr>
      </w:pPr>
      <w:r>
        <w:t>7.6</w:t>
      </w:r>
      <w:r>
        <w:tab/>
        <w:t>Blocking characteristics</w:t>
      </w:r>
    </w:p>
    <w:p w14:paraId="4A64B36F" w14:textId="77777777" w:rsidR="00143775" w:rsidRDefault="008D3942" w:rsidP="00EC759F">
      <w:pPr>
        <w:pStyle w:val="3GPP"/>
        <w:numPr>
          <w:ilvl w:val="0"/>
          <w:numId w:val="15"/>
        </w:numPr>
      </w:pPr>
      <w:r>
        <w:t>7.7</w:t>
      </w:r>
      <w:r>
        <w:tab/>
        <w:t>Spurious response</w:t>
      </w:r>
    </w:p>
    <w:p w14:paraId="39A244E8" w14:textId="14448497" w:rsidR="008D3942" w:rsidRPr="00EE24A0" w:rsidRDefault="008D3942" w:rsidP="00EC759F">
      <w:pPr>
        <w:pStyle w:val="3GPP"/>
        <w:numPr>
          <w:ilvl w:val="0"/>
          <w:numId w:val="15"/>
        </w:numPr>
      </w:pPr>
      <w:r>
        <w:t>7.8</w:t>
      </w:r>
      <w:r>
        <w:tab/>
        <w:t>Intermodulation characteristics</w:t>
      </w:r>
    </w:p>
    <w:p w14:paraId="1F8FE12E" w14:textId="3976B1BE" w:rsidR="008D3942" w:rsidRDefault="00271A32" w:rsidP="008D3942">
      <w:pPr>
        <w:rPr>
          <w:lang w:eastAsia="zh-CN"/>
        </w:rPr>
      </w:pPr>
      <w:r>
        <w:rPr>
          <w:lang w:eastAsia="zh-CN"/>
        </w:rPr>
        <w:lastRenderedPageBreak/>
        <w:t xml:space="preserve">On </w:t>
      </w:r>
      <w:bookmarkStart w:id="34" w:name="OLE_LINK57"/>
      <w:r>
        <w:rPr>
          <w:lang w:eastAsia="zh-CN"/>
        </w:rPr>
        <w:t>band specific requirements</w:t>
      </w:r>
      <w:bookmarkEnd w:id="34"/>
      <w:r>
        <w:rPr>
          <w:lang w:eastAsia="zh-CN"/>
        </w:rPr>
        <w:t xml:space="preserve">, </w:t>
      </w:r>
      <w:r w:rsidR="00FF53D4">
        <w:rPr>
          <w:lang w:eastAsia="zh-CN"/>
        </w:rPr>
        <w:t>we need look into the reference sensitivity, MPR and A-MPR case by case.</w:t>
      </w:r>
      <w:r w:rsidR="008B4033">
        <w:rPr>
          <w:lang w:eastAsia="zh-CN"/>
        </w:rPr>
        <w:t xml:space="preserve"> An overview is summarized in Table 2-1.</w:t>
      </w:r>
    </w:p>
    <w:p w14:paraId="2E37EE6D" w14:textId="15BAD21D" w:rsidR="00FF53D4" w:rsidRPr="008B4033" w:rsidRDefault="008B4033" w:rsidP="008B4033">
      <w:pPr>
        <w:jc w:val="center"/>
        <w:rPr>
          <w:b/>
          <w:lang w:eastAsia="zh-CN"/>
        </w:rPr>
      </w:pPr>
      <w:r w:rsidRPr="008B4033">
        <w:rPr>
          <w:rFonts w:hint="eastAsia"/>
          <w:b/>
          <w:lang w:eastAsia="zh-CN"/>
        </w:rPr>
        <w:t>T</w:t>
      </w:r>
      <w:r w:rsidRPr="008B4033">
        <w:rPr>
          <w:b/>
          <w:lang w:eastAsia="zh-CN"/>
        </w:rPr>
        <w:t>able 2-1 Overview on band specific requirements</w:t>
      </w:r>
    </w:p>
    <w:tbl>
      <w:tblPr>
        <w:tblW w:w="5000" w:type="pct"/>
        <w:tblLook w:val="04A0" w:firstRow="1" w:lastRow="0" w:firstColumn="1" w:lastColumn="0" w:noHBand="0" w:noVBand="1"/>
      </w:tblPr>
      <w:tblGrid>
        <w:gridCol w:w="988"/>
        <w:gridCol w:w="1067"/>
        <w:gridCol w:w="2006"/>
        <w:gridCol w:w="2473"/>
        <w:gridCol w:w="3087"/>
      </w:tblGrid>
      <w:tr w:rsidR="008B4033" w:rsidRPr="008B4033" w14:paraId="78212F51" w14:textId="77777777" w:rsidTr="008B4033">
        <w:trPr>
          <w:trHeight w:val="495"/>
        </w:trPr>
        <w:tc>
          <w:tcPr>
            <w:tcW w:w="522" w:type="pct"/>
            <w:tcBorders>
              <w:top w:val="single" w:sz="8" w:space="0" w:color="B1BBCC"/>
              <w:left w:val="single" w:sz="8" w:space="0" w:color="B1BBCC"/>
              <w:bottom w:val="single" w:sz="8" w:space="0" w:color="B1BBCC"/>
              <w:right w:val="single" w:sz="8" w:space="0" w:color="B1BBCC"/>
            </w:tcBorders>
            <w:shd w:val="clear" w:color="auto" w:fill="auto"/>
            <w:vAlign w:val="center"/>
            <w:hideMark/>
          </w:tcPr>
          <w:p w14:paraId="3C721E38" w14:textId="77777777" w:rsidR="008B4033" w:rsidRPr="008B4033" w:rsidRDefault="008B4033" w:rsidP="008B4033">
            <w:pPr>
              <w:overflowPunct/>
              <w:autoSpaceDE/>
              <w:autoSpaceDN/>
              <w:adjustRightInd/>
              <w:spacing w:after="0"/>
              <w:textAlignment w:val="auto"/>
              <w:rPr>
                <w:b/>
                <w:bCs/>
                <w:color w:val="363636"/>
                <w:sz w:val="18"/>
                <w:szCs w:val="18"/>
                <w:lang w:val="en-US" w:eastAsia="zh-CN"/>
              </w:rPr>
            </w:pPr>
            <w:r w:rsidRPr="008B4033">
              <w:rPr>
                <w:b/>
                <w:bCs/>
                <w:color w:val="363636"/>
                <w:sz w:val="18"/>
                <w:szCs w:val="18"/>
                <w:lang w:val="en-US" w:eastAsia="zh-CN"/>
              </w:rPr>
              <w:t>Band</w:t>
            </w:r>
          </w:p>
        </w:tc>
        <w:tc>
          <w:tcPr>
            <w:tcW w:w="522" w:type="pct"/>
            <w:tcBorders>
              <w:top w:val="single" w:sz="8" w:space="0" w:color="B1BBCC"/>
              <w:left w:val="nil"/>
              <w:bottom w:val="single" w:sz="8" w:space="0" w:color="B1BBCC"/>
              <w:right w:val="single" w:sz="8" w:space="0" w:color="B1BBCC"/>
            </w:tcBorders>
            <w:shd w:val="clear" w:color="auto" w:fill="auto"/>
            <w:vAlign w:val="center"/>
            <w:hideMark/>
          </w:tcPr>
          <w:p w14:paraId="00FE2AB5" w14:textId="77777777" w:rsidR="008B4033" w:rsidRPr="008B4033" w:rsidRDefault="008B4033" w:rsidP="008B4033">
            <w:pPr>
              <w:overflowPunct/>
              <w:autoSpaceDE/>
              <w:autoSpaceDN/>
              <w:adjustRightInd/>
              <w:spacing w:after="0"/>
              <w:textAlignment w:val="auto"/>
              <w:rPr>
                <w:b/>
                <w:bCs/>
                <w:color w:val="363636"/>
                <w:sz w:val="18"/>
                <w:szCs w:val="18"/>
                <w:lang w:val="en-US" w:eastAsia="zh-CN"/>
              </w:rPr>
            </w:pPr>
            <w:r w:rsidRPr="008B4033">
              <w:rPr>
                <w:b/>
                <w:bCs/>
                <w:color w:val="363636"/>
                <w:sz w:val="18"/>
                <w:szCs w:val="18"/>
                <w:lang w:val="en-US" w:eastAsia="zh-CN"/>
              </w:rPr>
              <w:t>Channel Bandwidth</w:t>
            </w:r>
          </w:p>
        </w:tc>
        <w:tc>
          <w:tcPr>
            <w:tcW w:w="1051" w:type="pct"/>
            <w:tcBorders>
              <w:top w:val="single" w:sz="8" w:space="0" w:color="B1BBCC"/>
              <w:left w:val="nil"/>
              <w:bottom w:val="single" w:sz="8" w:space="0" w:color="B1BBCC"/>
              <w:right w:val="single" w:sz="8" w:space="0" w:color="B1BBCC"/>
            </w:tcBorders>
            <w:shd w:val="clear" w:color="auto" w:fill="auto"/>
            <w:vAlign w:val="center"/>
            <w:hideMark/>
          </w:tcPr>
          <w:p w14:paraId="31B9057F" w14:textId="77777777" w:rsidR="008B4033" w:rsidRPr="008B4033" w:rsidRDefault="008B4033" w:rsidP="008B4033">
            <w:pPr>
              <w:overflowPunct/>
              <w:autoSpaceDE/>
              <w:autoSpaceDN/>
              <w:adjustRightInd/>
              <w:spacing w:after="0"/>
              <w:textAlignment w:val="auto"/>
              <w:rPr>
                <w:b/>
                <w:bCs/>
                <w:color w:val="363636"/>
                <w:sz w:val="18"/>
                <w:szCs w:val="18"/>
                <w:lang w:val="en-US" w:eastAsia="zh-CN"/>
              </w:rPr>
            </w:pPr>
            <w:r w:rsidRPr="008B4033">
              <w:rPr>
                <w:b/>
                <w:bCs/>
                <w:color w:val="363636"/>
                <w:sz w:val="18"/>
                <w:szCs w:val="18"/>
                <w:lang w:val="en-US" w:eastAsia="zh-CN"/>
              </w:rPr>
              <w:t>REFSEMS</w:t>
            </w:r>
          </w:p>
        </w:tc>
        <w:tc>
          <w:tcPr>
            <w:tcW w:w="1293" w:type="pct"/>
            <w:tcBorders>
              <w:top w:val="single" w:sz="8" w:space="0" w:color="B1BBCC"/>
              <w:left w:val="nil"/>
              <w:bottom w:val="single" w:sz="8" w:space="0" w:color="B1BBCC"/>
              <w:right w:val="single" w:sz="8" w:space="0" w:color="B1BBCC"/>
            </w:tcBorders>
            <w:shd w:val="clear" w:color="auto" w:fill="auto"/>
            <w:vAlign w:val="center"/>
            <w:hideMark/>
          </w:tcPr>
          <w:p w14:paraId="2214A544" w14:textId="77777777" w:rsidR="008B4033" w:rsidRPr="008B4033" w:rsidRDefault="008B4033" w:rsidP="008B4033">
            <w:pPr>
              <w:overflowPunct/>
              <w:autoSpaceDE/>
              <w:autoSpaceDN/>
              <w:adjustRightInd/>
              <w:spacing w:after="0"/>
              <w:textAlignment w:val="auto"/>
              <w:rPr>
                <w:b/>
                <w:bCs/>
                <w:color w:val="363636"/>
                <w:sz w:val="18"/>
                <w:szCs w:val="18"/>
                <w:lang w:val="en-US" w:eastAsia="zh-CN"/>
              </w:rPr>
            </w:pPr>
            <w:r w:rsidRPr="008B4033">
              <w:rPr>
                <w:b/>
                <w:bCs/>
                <w:color w:val="363636"/>
                <w:sz w:val="18"/>
                <w:szCs w:val="18"/>
                <w:lang w:val="en-US" w:eastAsia="zh-CN"/>
              </w:rPr>
              <w:t>MPR(relative bandwidth criteria)</w:t>
            </w:r>
          </w:p>
        </w:tc>
        <w:tc>
          <w:tcPr>
            <w:tcW w:w="1612" w:type="pct"/>
            <w:tcBorders>
              <w:top w:val="single" w:sz="8" w:space="0" w:color="B1BBCC"/>
              <w:left w:val="nil"/>
              <w:bottom w:val="single" w:sz="8" w:space="0" w:color="B1BBCC"/>
              <w:right w:val="single" w:sz="8" w:space="0" w:color="B1BBCC"/>
            </w:tcBorders>
            <w:shd w:val="clear" w:color="auto" w:fill="auto"/>
            <w:vAlign w:val="center"/>
            <w:hideMark/>
          </w:tcPr>
          <w:p w14:paraId="0D14F5AA" w14:textId="77777777" w:rsidR="008B4033" w:rsidRPr="008B4033" w:rsidRDefault="008B4033" w:rsidP="008B4033">
            <w:pPr>
              <w:overflowPunct/>
              <w:autoSpaceDE/>
              <w:autoSpaceDN/>
              <w:adjustRightInd/>
              <w:spacing w:after="0"/>
              <w:textAlignment w:val="auto"/>
              <w:rPr>
                <w:b/>
                <w:bCs/>
                <w:color w:val="363636"/>
                <w:sz w:val="18"/>
                <w:szCs w:val="18"/>
                <w:lang w:val="en-US" w:eastAsia="zh-CN"/>
              </w:rPr>
            </w:pPr>
            <w:r w:rsidRPr="008B4033">
              <w:rPr>
                <w:b/>
                <w:bCs/>
                <w:color w:val="363636"/>
                <w:sz w:val="18"/>
                <w:szCs w:val="18"/>
                <w:lang w:val="en-US" w:eastAsia="zh-CN"/>
              </w:rPr>
              <w:t>A-MPR</w:t>
            </w:r>
          </w:p>
        </w:tc>
      </w:tr>
      <w:tr w:rsidR="008B4033" w:rsidRPr="008B4033" w14:paraId="346E5145" w14:textId="77777777" w:rsidTr="008B4033">
        <w:trPr>
          <w:trHeight w:val="315"/>
        </w:trPr>
        <w:tc>
          <w:tcPr>
            <w:tcW w:w="52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2C213398"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n3</w:t>
            </w:r>
          </w:p>
        </w:tc>
        <w:tc>
          <w:tcPr>
            <w:tcW w:w="522" w:type="pct"/>
            <w:tcBorders>
              <w:top w:val="nil"/>
              <w:left w:val="nil"/>
              <w:bottom w:val="single" w:sz="8" w:space="0" w:color="B1BBCC"/>
              <w:right w:val="single" w:sz="8" w:space="0" w:color="B1BBCC"/>
            </w:tcBorders>
            <w:shd w:val="clear" w:color="auto" w:fill="auto"/>
            <w:vAlign w:val="center"/>
            <w:hideMark/>
          </w:tcPr>
          <w:p w14:paraId="10C52583"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763CDD84"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180B035F"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bandwidth=2 %, OK</w:t>
            </w:r>
          </w:p>
        </w:tc>
        <w:tc>
          <w:tcPr>
            <w:tcW w:w="161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798D1512"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No A-MPR requirement will be specified, same as the case for 40 MHz CBW</w:t>
            </w:r>
          </w:p>
        </w:tc>
      </w:tr>
      <w:tr w:rsidR="008B4033" w:rsidRPr="008B4033" w14:paraId="79C2A046" w14:textId="77777777" w:rsidTr="008B4033">
        <w:trPr>
          <w:trHeight w:val="315"/>
        </w:trPr>
        <w:tc>
          <w:tcPr>
            <w:tcW w:w="522" w:type="pct"/>
            <w:vMerge/>
            <w:tcBorders>
              <w:top w:val="nil"/>
              <w:left w:val="single" w:sz="8" w:space="0" w:color="B1BBCC"/>
              <w:bottom w:val="single" w:sz="8" w:space="0" w:color="B1BBCC"/>
              <w:right w:val="single" w:sz="8" w:space="0" w:color="B1BBCC"/>
            </w:tcBorders>
            <w:vAlign w:val="center"/>
            <w:hideMark/>
          </w:tcPr>
          <w:p w14:paraId="0730961E"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c>
          <w:tcPr>
            <w:tcW w:w="522" w:type="pct"/>
            <w:tcBorders>
              <w:top w:val="nil"/>
              <w:left w:val="nil"/>
              <w:bottom w:val="single" w:sz="8" w:space="0" w:color="B1BBCC"/>
              <w:right w:val="single" w:sz="8" w:space="0" w:color="B1BBCC"/>
            </w:tcBorders>
            <w:shd w:val="clear" w:color="auto" w:fill="auto"/>
            <w:vAlign w:val="center"/>
            <w:hideMark/>
          </w:tcPr>
          <w:p w14:paraId="6DFBAC67"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45</w:t>
            </w:r>
          </w:p>
        </w:tc>
        <w:tc>
          <w:tcPr>
            <w:tcW w:w="1051" w:type="pct"/>
            <w:tcBorders>
              <w:top w:val="nil"/>
              <w:left w:val="nil"/>
              <w:bottom w:val="single" w:sz="8" w:space="0" w:color="B1BBCC"/>
              <w:right w:val="single" w:sz="8" w:space="0" w:color="B1BBCC"/>
            </w:tcBorders>
            <w:shd w:val="clear" w:color="auto" w:fill="auto"/>
            <w:vAlign w:val="center"/>
            <w:hideMark/>
          </w:tcPr>
          <w:p w14:paraId="6B11CB66"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24B4FC1F"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bandwidth=2.6 %, OK</w:t>
            </w:r>
          </w:p>
        </w:tc>
        <w:tc>
          <w:tcPr>
            <w:tcW w:w="1612" w:type="pct"/>
            <w:vMerge/>
            <w:tcBorders>
              <w:top w:val="nil"/>
              <w:left w:val="single" w:sz="8" w:space="0" w:color="B1BBCC"/>
              <w:bottom w:val="single" w:sz="8" w:space="0" w:color="B1BBCC"/>
              <w:right w:val="single" w:sz="8" w:space="0" w:color="B1BBCC"/>
            </w:tcBorders>
            <w:vAlign w:val="center"/>
            <w:hideMark/>
          </w:tcPr>
          <w:p w14:paraId="4E38F2AC"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r>
      <w:tr w:rsidR="008B4033" w:rsidRPr="008B4033" w14:paraId="06B5BEFB" w14:textId="77777777" w:rsidTr="008B4033">
        <w:trPr>
          <w:trHeight w:val="315"/>
        </w:trPr>
        <w:tc>
          <w:tcPr>
            <w:tcW w:w="522" w:type="pct"/>
            <w:tcBorders>
              <w:top w:val="nil"/>
              <w:left w:val="single" w:sz="8" w:space="0" w:color="B1BBCC"/>
              <w:bottom w:val="single" w:sz="8" w:space="0" w:color="B1BBCC"/>
              <w:right w:val="single" w:sz="8" w:space="0" w:color="B1BBCC"/>
            </w:tcBorders>
            <w:shd w:val="clear" w:color="auto" w:fill="auto"/>
            <w:vAlign w:val="center"/>
            <w:hideMark/>
          </w:tcPr>
          <w:p w14:paraId="3A8B9DEF"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n7</w:t>
            </w:r>
          </w:p>
        </w:tc>
        <w:tc>
          <w:tcPr>
            <w:tcW w:w="522" w:type="pct"/>
            <w:tcBorders>
              <w:top w:val="nil"/>
              <w:left w:val="nil"/>
              <w:bottom w:val="single" w:sz="8" w:space="0" w:color="B1BBCC"/>
              <w:right w:val="single" w:sz="8" w:space="0" w:color="B1BBCC"/>
            </w:tcBorders>
            <w:shd w:val="clear" w:color="auto" w:fill="auto"/>
            <w:vAlign w:val="center"/>
            <w:hideMark/>
          </w:tcPr>
          <w:p w14:paraId="1936A115"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5FCE7280"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w:t>
            </w:r>
          </w:p>
        </w:tc>
        <w:tc>
          <w:tcPr>
            <w:tcW w:w="1293" w:type="pct"/>
            <w:tcBorders>
              <w:top w:val="nil"/>
              <w:left w:val="nil"/>
              <w:bottom w:val="single" w:sz="8" w:space="0" w:color="B1BBCC"/>
              <w:right w:val="single" w:sz="8" w:space="0" w:color="B1BBCC"/>
            </w:tcBorders>
            <w:shd w:val="clear" w:color="auto" w:fill="auto"/>
            <w:vAlign w:val="center"/>
            <w:hideMark/>
          </w:tcPr>
          <w:p w14:paraId="0E0B8A78"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bandwidth=1.4 %, OK</w:t>
            </w:r>
          </w:p>
        </w:tc>
        <w:tc>
          <w:tcPr>
            <w:tcW w:w="1612" w:type="pct"/>
            <w:tcBorders>
              <w:top w:val="nil"/>
              <w:left w:val="nil"/>
              <w:bottom w:val="single" w:sz="8" w:space="0" w:color="B1BBCC"/>
              <w:right w:val="single" w:sz="8" w:space="0" w:color="B1BBCC"/>
            </w:tcBorders>
            <w:shd w:val="clear" w:color="auto" w:fill="auto"/>
            <w:vAlign w:val="center"/>
            <w:hideMark/>
          </w:tcPr>
          <w:p w14:paraId="6BCBDBA2"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A-MPR for NS_46 need to be studied</w:t>
            </w:r>
          </w:p>
        </w:tc>
      </w:tr>
      <w:tr w:rsidR="008B4033" w:rsidRPr="008B4033" w14:paraId="223562F3" w14:textId="77777777" w:rsidTr="008B4033">
        <w:trPr>
          <w:trHeight w:val="495"/>
        </w:trPr>
        <w:tc>
          <w:tcPr>
            <w:tcW w:w="522" w:type="pct"/>
            <w:tcBorders>
              <w:top w:val="nil"/>
              <w:left w:val="single" w:sz="8" w:space="0" w:color="B1BBCC"/>
              <w:bottom w:val="single" w:sz="8" w:space="0" w:color="B1BBCC"/>
              <w:right w:val="single" w:sz="8" w:space="0" w:color="B1BBCC"/>
            </w:tcBorders>
            <w:shd w:val="clear" w:color="auto" w:fill="auto"/>
            <w:vAlign w:val="center"/>
            <w:hideMark/>
          </w:tcPr>
          <w:p w14:paraId="056C50AB"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n8</w:t>
            </w:r>
          </w:p>
        </w:tc>
        <w:tc>
          <w:tcPr>
            <w:tcW w:w="522" w:type="pct"/>
            <w:tcBorders>
              <w:top w:val="nil"/>
              <w:left w:val="nil"/>
              <w:bottom w:val="single" w:sz="8" w:space="0" w:color="B1BBCC"/>
              <w:right w:val="single" w:sz="8" w:space="0" w:color="B1BBCC"/>
            </w:tcBorders>
            <w:shd w:val="clear" w:color="auto" w:fill="auto"/>
            <w:vAlign w:val="center"/>
            <w:hideMark/>
          </w:tcPr>
          <w:p w14:paraId="275F6D6A"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12F54551"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6670E4AD"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bandwidth=3.9 %,  MPR for 35 MHz need to be studied</w:t>
            </w:r>
          </w:p>
        </w:tc>
        <w:tc>
          <w:tcPr>
            <w:tcW w:w="1612" w:type="pct"/>
            <w:tcBorders>
              <w:top w:val="nil"/>
              <w:left w:val="nil"/>
              <w:bottom w:val="single" w:sz="8" w:space="0" w:color="B1BBCC"/>
              <w:right w:val="single" w:sz="8" w:space="0" w:color="B1BBCC"/>
            </w:tcBorders>
            <w:shd w:val="clear" w:color="auto" w:fill="auto"/>
            <w:vAlign w:val="center"/>
            <w:hideMark/>
          </w:tcPr>
          <w:p w14:paraId="1401C027"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A-MPR for NS_43 and NS_43U need to be studied</w:t>
            </w:r>
          </w:p>
        </w:tc>
      </w:tr>
      <w:tr w:rsidR="008B4033" w:rsidRPr="008B4033" w14:paraId="1F6BEB66" w14:textId="77777777" w:rsidTr="008B4033">
        <w:trPr>
          <w:trHeight w:val="315"/>
        </w:trPr>
        <w:tc>
          <w:tcPr>
            <w:tcW w:w="52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7521C264"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n25</w:t>
            </w:r>
          </w:p>
        </w:tc>
        <w:tc>
          <w:tcPr>
            <w:tcW w:w="522" w:type="pct"/>
            <w:tcBorders>
              <w:top w:val="nil"/>
              <w:left w:val="nil"/>
              <w:bottom w:val="single" w:sz="8" w:space="0" w:color="B1BBCC"/>
              <w:right w:val="single" w:sz="8" w:space="0" w:color="B1BBCC"/>
            </w:tcBorders>
            <w:shd w:val="clear" w:color="auto" w:fill="auto"/>
            <w:vAlign w:val="center"/>
            <w:hideMark/>
          </w:tcPr>
          <w:p w14:paraId="2B2B666C"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3B050CE2"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4BCC1729"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bandwidth=1.9 %, OK</w:t>
            </w:r>
          </w:p>
        </w:tc>
        <w:tc>
          <w:tcPr>
            <w:tcW w:w="161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6FA170A9"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A-MPR for NS_03 and NS_03U need to be studied</w:t>
            </w:r>
          </w:p>
        </w:tc>
      </w:tr>
      <w:tr w:rsidR="008B4033" w:rsidRPr="008B4033" w14:paraId="7F9A405E" w14:textId="77777777" w:rsidTr="008B4033">
        <w:trPr>
          <w:trHeight w:val="315"/>
        </w:trPr>
        <w:tc>
          <w:tcPr>
            <w:tcW w:w="522" w:type="pct"/>
            <w:vMerge/>
            <w:tcBorders>
              <w:top w:val="nil"/>
              <w:left w:val="single" w:sz="8" w:space="0" w:color="B1BBCC"/>
              <w:bottom w:val="single" w:sz="8" w:space="0" w:color="B1BBCC"/>
              <w:right w:val="single" w:sz="8" w:space="0" w:color="B1BBCC"/>
            </w:tcBorders>
            <w:vAlign w:val="center"/>
            <w:hideMark/>
          </w:tcPr>
          <w:p w14:paraId="0A326008"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c>
          <w:tcPr>
            <w:tcW w:w="522" w:type="pct"/>
            <w:tcBorders>
              <w:top w:val="nil"/>
              <w:left w:val="nil"/>
              <w:bottom w:val="single" w:sz="8" w:space="0" w:color="B1BBCC"/>
              <w:right w:val="single" w:sz="8" w:space="0" w:color="B1BBCC"/>
            </w:tcBorders>
            <w:shd w:val="clear" w:color="auto" w:fill="auto"/>
            <w:vAlign w:val="center"/>
            <w:hideMark/>
          </w:tcPr>
          <w:p w14:paraId="499ABA51"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45</w:t>
            </w:r>
          </w:p>
        </w:tc>
        <w:tc>
          <w:tcPr>
            <w:tcW w:w="1051" w:type="pct"/>
            <w:tcBorders>
              <w:top w:val="nil"/>
              <w:left w:val="nil"/>
              <w:bottom w:val="single" w:sz="8" w:space="0" w:color="B1BBCC"/>
              <w:right w:val="single" w:sz="8" w:space="0" w:color="B1BBCC"/>
            </w:tcBorders>
            <w:shd w:val="clear" w:color="auto" w:fill="auto"/>
            <w:vAlign w:val="center"/>
            <w:hideMark/>
          </w:tcPr>
          <w:p w14:paraId="4FEAA418"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77A6116B"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bandwidth=2.4 %, OK</w:t>
            </w:r>
          </w:p>
        </w:tc>
        <w:tc>
          <w:tcPr>
            <w:tcW w:w="1612" w:type="pct"/>
            <w:vMerge/>
            <w:tcBorders>
              <w:top w:val="nil"/>
              <w:left w:val="single" w:sz="8" w:space="0" w:color="B1BBCC"/>
              <w:bottom w:val="single" w:sz="8" w:space="0" w:color="B1BBCC"/>
              <w:right w:val="single" w:sz="8" w:space="0" w:color="B1BBCC"/>
            </w:tcBorders>
            <w:vAlign w:val="center"/>
            <w:hideMark/>
          </w:tcPr>
          <w:p w14:paraId="38F73ADF"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r>
      <w:tr w:rsidR="008B4033" w:rsidRPr="008B4033" w14:paraId="30A923F0" w14:textId="77777777" w:rsidTr="008B4033">
        <w:trPr>
          <w:trHeight w:val="315"/>
        </w:trPr>
        <w:tc>
          <w:tcPr>
            <w:tcW w:w="52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5BA461AA"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n66</w:t>
            </w:r>
          </w:p>
        </w:tc>
        <w:tc>
          <w:tcPr>
            <w:tcW w:w="522" w:type="pct"/>
            <w:tcBorders>
              <w:top w:val="nil"/>
              <w:left w:val="nil"/>
              <w:bottom w:val="single" w:sz="8" w:space="0" w:color="B1BBCC"/>
              <w:right w:val="single" w:sz="8" w:space="0" w:color="B1BBCC"/>
            </w:tcBorders>
            <w:shd w:val="clear" w:color="auto" w:fill="auto"/>
            <w:vAlign w:val="center"/>
            <w:hideMark/>
          </w:tcPr>
          <w:p w14:paraId="4C4398FD"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585100C5"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No MSD</w:t>
            </w:r>
          </w:p>
        </w:tc>
        <w:tc>
          <w:tcPr>
            <w:tcW w:w="1293" w:type="pct"/>
            <w:tcBorders>
              <w:top w:val="nil"/>
              <w:left w:val="nil"/>
              <w:bottom w:val="single" w:sz="8" w:space="0" w:color="B1BBCC"/>
              <w:right w:val="single" w:sz="8" w:space="0" w:color="B1BBCC"/>
            </w:tcBorders>
            <w:shd w:val="clear" w:color="auto" w:fill="auto"/>
            <w:vAlign w:val="center"/>
            <w:hideMark/>
          </w:tcPr>
          <w:p w14:paraId="36975DC2"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bandwidth=2 %, OK</w:t>
            </w:r>
          </w:p>
        </w:tc>
        <w:tc>
          <w:tcPr>
            <w:tcW w:w="1612" w:type="pct"/>
            <w:vMerge w:val="restart"/>
            <w:tcBorders>
              <w:top w:val="nil"/>
              <w:left w:val="single" w:sz="8" w:space="0" w:color="B1BBCC"/>
              <w:bottom w:val="single" w:sz="8" w:space="0" w:color="B1BBCC"/>
              <w:right w:val="single" w:sz="8" w:space="0" w:color="B1BBCC"/>
            </w:tcBorders>
            <w:shd w:val="clear" w:color="auto" w:fill="auto"/>
            <w:vAlign w:val="center"/>
            <w:hideMark/>
          </w:tcPr>
          <w:p w14:paraId="67F4AD4C"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A-MPR for NS_03 and NS_03U need to be studied</w:t>
            </w:r>
          </w:p>
        </w:tc>
      </w:tr>
      <w:tr w:rsidR="008B4033" w:rsidRPr="008B4033" w14:paraId="26E9C548" w14:textId="77777777" w:rsidTr="008B4033">
        <w:trPr>
          <w:trHeight w:val="315"/>
        </w:trPr>
        <w:tc>
          <w:tcPr>
            <w:tcW w:w="522" w:type="pct"/>
            <w:vMerge/>
            <w:tcBorders>
              <w:top w:val="nil"/>
              <w:left w:val="single" w:sz="8" w:space="0" w:color="B1BBCC"/>
              <w:bottom w:val="single" w:sz="8" w:space="0" w:color="B1BBCC"/>
              <w:right w:val="single" w:sz="8" w:space="0" w:color="B1BBCC"/>
            </w:tcBorders>
            <w:vAlign w:val="center"/>
            <w:hideMark/>
          </w:tcPr>
          <w:p w14:paraId="63D4742B"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c>
          <w:tcPr>
            <w:tcW w:w="522" w:type="pct"/>
            <w:tcBorders>
              <w:top w:val="nil"/>
              <w:left w:val="nil"/>
              <w:bottom w:val="single" w:sz="8" w:space="0" w:color="B1BBCC"/>
              <w:right w:val="single" w:sz="8" w:space="0" w:color="B1BBCC"/>
            </w:tcBorders>
            <w:shd w:val="clear" w:color="auto" w:fill="auto"/>
            <w:vAlign w:val="center"/>
            <w:hideMark/>
          </w:tcPr>
          <w:p w14:paraId="6879887C"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45</w:t>
            </w:r>
          </w:p>
        </w:tc>
        <w:tc>
          <w:tcPr>
            <w:tcW w:w="1051" w:type="pct"/>
            <w:tcBorders>
              <w:top w:val="nil"/>
              <w:left w:val="nil"/>
              <w:bottom w:val="single" w:sz="8" w:space="0" w:color="B1BBCC"/>
              <w:right w:val="single" w:sz="8" w:space="0" w:color="B1BBCC"/>
            </w:tcBorders>
            <w:shd w:val="clear" w:color="auto" w:fill="auto"/>
            <w:vAlign w:val="center"/>
            <w:hideMark/>
          </w:tcPr>
          <w:p w14:paraId="1975E859"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w:t>
            </w:r>
          </w:p>
        </w:tc>
        <w:tc>
          <w:tcPr>
            <w:tcW w:w="1293" w:type="pct"/>
            <w:tcBorders>
              <w:top w:val="nil"/>
              <w:left w:val="nil"/>
              <w:bottom w:val="single" w:sz="8" w:space="0" w:color="B1BBCC"/>
              <w:right w:val="single" w:sz="8" w:space="0" w:color="B1BBCC"/>
            </w:tcBorders>
            <w:shd w:val="clear" w:color="auto" w:fill="auto"/>
            <w:vAlign w:val="center"/>
            <w:hideMark/>
          </w:tcPr>
          <w:p w14:paraId="5B5F5601"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bandwidth=2.6 %, OK</w:t>
            </w:r>
          </w:p>
        </w:tc>
        <w:tc>
          <w:tcPr>
            <w:tcW w:w="1612" w:type="pct"/>
            <w:vMerge/>
            <w:tcBorders>
              <w:top w:val="nil"/>
              <w:left w:val="single" w:sz="8" w:space="0" w:color="B1BBCC"/>
              <w:bottom w:val="single" w:sz="8" w:space="0" w:color="B1BBCC"/>
              <w:right w:val="single" w:sz="8" w:space="0" w:color="B1BBCC"/>
            </w:tcBorders>
            <w:vAlign w:val="center"/>
            <w:hideMark/>
          </w:tcPr>
          <w:p w14:paraId="73733CA0" w14:textId="77777777" w:rsidR="008B4033" w:rsidRPr="008B4033" w:rsidRDefault="008B4033" w:rsidP="008B4033">
            <w:pPr>
              <w:overflowPunct/>
              <w:autoSpaceDE/>
              <w:autoSpaceDN/>
              <w:adjustRightInd/>
              <w:spacing w:after="0"/>
              <w:textAlignment w:val="auto"/>
              <w:rPr>
                <w:color w:val="363636"/>
                <w:sz w:val="18"/>
                <w:szCs w:val="18"/>
                <w:lang w:val="en-US" w:eastAsia="zh-CN"/>
              </w:rPr>
            </w:pPr>
          </w:p>
        </w:tc>
      </w:tr>
      <w:tr w:rsidR="008B4033" w:rsidRPr="008B4033" w14:paraId="70B36744" w14:textId="77777777" w:rsidTr="008B4033">
        <w:trPr>
          <w:trHeight w:val="495"/>
        </w:trPr>
        <w:tc>
          <w:tcPr>
            <w:tcW w:w="522" w:type="pct"/>
            <w:tcBorders>
              <w:top w:val="nil"/>
              <w:left w:val="single" w:sz="8" w:space="0" w:color="B1BBCC"/>
              <w:bottom w:val="single" w:sz="8" w:space="0" w:color="B1BBCC"/>
              <w:right w:val="single" w:sz="8" w:space="0" w:color="B1BBCC"/>
            </w:tcBorders>
            <w:shd w:val="clear" w:color="auto" w:fill="auto"/>
            <w:vAlign w:val="center"/>
            <w:hideMark/>
          </w:tcPr>
          <w:p w14:paraId="71421812"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n71</w:t>
            </w:r>
          </w:p>
        </w:tc>
        <w:tc>
          <w:tcPr>
            <w:tcW w:w="522" w:type="pct"/>
            <w:tcBorders>
              <w:top w:val="nil"/>
              <w:left w:val="nil"/>
              <w:bottom w:val="single" w:sz="8" w:space="0" w:color="B1BBCC"/>
              <w:right w:val="single" w:sz="8" w:space="0" w:color="B1BBCC"/>
            </w:tcBorders>
            <w:shd w:val="clear" w:color="auto" w:fill="auto"/>
            <w:vAlign w:val="center"/>
            <w:hideMark/>
          </w:tcPr>
          <w:p w14:paraId="0FA25E3B" w14:textId="77777777" w:rsidR="008B4033" w:rsidRPr="008B4033" w:rsidRDefault="008B4033" w:rsidP="008B4033">
            <w:pPr>
              <w:overflowPunct/>
              <w:autoSpaceDE/>
              <w:autoSpaceDN/>
              <w:adjustRightInd/>
              <w:spacing w:after="0"/>
              <w:jc w:val="right"/>
              <w:textAlignment w:val="auto"/>
              <w:rPr>
                <w:color w:val="363636"/>
                <w:sz w:val="18"/>
                <w:szCs w:val="18"/>
                <w:lang w:val="en-US" w:eastAsia="zh-CN"/>
              </w:rPr>
            </w:pPr>
            <w:r w:rsidRPr="008B4033">
              <w:rPr>
                <w:color w:val="363636"/>
                <w:sz w:val="18"/>
                <w:szCs w:val="18"/>
                <w:lang w:val="en-US" w:eastAsia="zh-CN"/>
              </w:rPr>
              <w:t>35</w:t>
            </w:r>
          </w:p>
        </w:tc>
        <w:tc>
          <w:tcPr>
            <w:tcW w:w="1051" w:type="pct"/>
            <w:tcBorders>
              <w:top w:val="nil"/>
              <w:left w:val="nil"/>
              <w:bottom w:val="single" w:sz="8" w:space="0" w:color="B1BBCC"/>
              <w:right w:val="single" w:sz="8" w:space="0" w:color="B1BBCC"/>
            </w:tcBorders>
            <w:shd w:val="clear" w:color="auto" w:fill="auto"/>
            <w:vAlign w:val="center"/>
            <w:hideMark/>
          </w:tcPr>
          <w:p w14:paraId="6305C24A"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UL configuration, MSD</w:t>
            </w:r>
          </w:p>
        </w:tc>
        <w:tc>
          <w:tcPr>
            <w:tcW w:w="1293" w:type="pct"/>
            <w:tcBorders>
              <w:top w:val="nil"/>
              <w:left w:val="nil"/>
              <w:bottom w:val="single" w:sz="8" w:space="0" w:color="B1BBCC"/>
              <w:right w:val="single" w:sz="8" w:space="0" w:color="B1BBCC"/>
            </w:tcBorders>
            <w:shd w:val="clear" w:color="auto" w:fill="auto"/>
            <w:vAlign w:val="center"/>
            <w:hideMark/>
          </w:tcPr>
          <w:p w14:paraId="6EFB8E4F"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Relative channel bandwidth=5.1 %,  MPR for 35 MHz need to be studied</w:t>
            </w:r>
          </w:p>
        </w:tc>
        <w:tc>
          <w:tcPr>
            <w:tcW w:w="1612" w:type="pct"/>
            <w:tcBorders>
              <w:top w:val="nil"/>
              <w:left w:val="nil"/>
              <w:bottom w:val="single" w:sz="8" w:space="0" w:color="B1BBCC"/>
              <w:right w:val="single" w:sz="8" w:space="0" w:color="B1BBCC"/>
            </w:tcBorders>
            <w:shd w:val="clear" w:color="auto" w:fill="auto"/>
            <w:vAlign w:val="center"/>
            <w:hideMark/>
          </w:tcPr>
          <w:p w14:paraId="438F6F73" w14:textId="77777777" w:rsidR="008B4033" w:rsidRPr="008B4033" w:rsidRDefault="008B4033" w:rsidP="008B4033">
            <w:pPr>
              <w:overflowPunct/>
              <w:autoSpaceDE/>
              <w:autoSpaceDN/>
              <w:adjustRightInd/>
              <w:spacing w:after="0"/>
              <w:textAlignment w:val="auto"/>
              <w:rPr>
                <w:color w:val="363636"/>
                <w:sz w:val="18"/>
                <w:szCs w:val="18"/>
                <w:lang w:val="en-US" w:eastAsia="zh-CN"/>
              </w:rPr>
            </w:pPr>
            <w:r w:rsidRPr="008B4033">
              <w:rPr>
                <w:color w:val="363636"/>
                <w:sz w:val="18"/>
                <w:szCs w:val="18"/>
                <w:lang w:val="en-US" w:eastAsia="zh-CN"/>
              </w:rPr>
              <w:t>A-MPR for NS_35 need to be studied</w:t>
            </w:r>
          </w:p>
        </w:tc>
      </w:tr>
    </w:tbl>
    <w:p w14:paraId="660083C6" w14:textId="77777777" w:rsidR="008B4033" w:rsidRPr="008B4033" w:rsidRDefault="008B4033" w:rsidP="008D3942">
      <w:pPr>
        <w:rPr>
          <w:lang w:val="en-US" w:eastAsia="zh-CN"/>
        </w:rPr>
      </w:pPr>
    </w:p>
    <w:p w14:paraId="4AF0BAB5" w14:textId="35B6549F" w:rsidR="00F658EE" w:rsidRDefault="007D783A" w:rsidP="004D0DD3">
      <w:pPr>
        <w:pStyle w:val="10"/>
        <w:tabs>
          <w:tab w:val="num" w:pos="432"/>
        </w:tabs>
        <w:ind w:left="0" w:firstLine="0"/>
        <w:rPr>
          <w:color w:val="000000" w:themeColor="text1"/>
          <w:sz w:val="28"/>
          <w:szCs w:val="28"/>
        </w:rPr>
      </w:pPr>
      <w:r w:rsidRPr="004D6A17">
        <w:rPr>
          <w:color w:val="000000" w:themeColor="text1"/>
          <w:sz w:val="28"/>
          <w:szCs w:val="28"/>
        </w:rPr>
        <w:t>3</w:t>
      </w:r>
      <w:r w:rsidR="00F53E53" w:rsidRPr="004D6A17">
        <w:rPr>
          <w:color w:val="000000" w:themeColor="text1"/>
          <w:sz w:val="28"/>
          <w:szCs w:val="28"/>
        </w:rPr>
        <w:tab/>
      </w:r>
      <w:r w:rsidR="00F658EE" w:rsidRPr="004D6A17">
        <w:rPr>
          <w:color w:val="000000" w:themeColor="text1"/>
          <w:sz w:val="28"/>
          <w:szCs w:val="28"/>
        </w:rPr>
        <w:t>Conclusions</w:t>
      </w:r>
      <w:bookmarkEnd w:id="2"/>
      <w:bookmarkEnd w:id="3"/>
      <w:bookmarkEnd w:id="4"/>
      <w:bookmarkEnd w:id="5"/>
    </w:p>
    <w:p w14:paraId="28205D14" w14:textId="212A628D" w:rsidR="00224CCC" w:rsidRPr="00224CCC" w:rsidRDefault="003A1E22" w:rsidP="00224CCC">
      <w:r>
        <w:t>This contribution provides an overview on UE RF requirements</w:t>
      </w:r>
      <w:r w:rsidRPr="005778B1">
        <w:t xml:space="preserve"> for 35MHz and 45MHz</w:t>
      </w:r>
      <w:r>
        <w:t>.</w:t>
      </w:r>
    </w:p>
    <w:p w14:paraId="5E9C626F" w14:textId="37AB8A0D" w:rsidR="00224CCC" w:rsidRDefault="00224CCC" w:rsidP="00224CCC">
      <w:pPr>
        <w:pStyle w:val="10"/>
        <w:tabs>
          <w:tab w:val="num" w:pos="432"/>
        </w:tabs>
        <w:ind w:left="0" w:firstLine="0"/>
        <w:rPr>
          <w:color w:val="000000" w:themeColor="text1"/>
          <w:sz w:val="28"/>
          <w:szCs w:val="28"/>
        </w:rPr>
      </w:pPr>
      <w:r>
        <w:rPr>
          <w:color w:val="000000" w:themeColor="text1"/>
          <w:sz w:val="28"/>
          <w:szCs w:val="28"/>
        </w:rPr>
        <w:t>Reference</w:t>
      </w:r>
    </w:p>
    <w:p w14:paraId="307912B8" w14:textId="77777777" w:rsidR="00224CCC" w:rsidRDefault="00224CCC" w:rsidP="00224CCC">
      <w:r w:rsidRPr="00417B7C">
        <w:t xml:space="preserve">[1] RP-201321, “New WID on introduction of channel bandwidths 35MHz and 45MHz for NR”, </w:t>
      </w:r>
      <w:bookmarkStart w:id="35" w:name="OLE_LINK41"/>
      <w:r w:rsidRPr="00417B7C">
        <w:t>Huawei, HiSilicon,</w:t>
      </w:r>
      <w:bookmarkEnd w:id="35"/>
      <w:r w:rsidRPr="00417B7C">
        <w:t xml:space="preserve"> Etisalat</w:t>
      </w:r>
    </w:p>
    <w:p w14:paraId="2FCFE0E1" w14:textId="44769EF7" w:rsidR="00224CCC" w:rsidRPr="00417B7C" w:rsidRDefault="00B83D7E" w:rsidP="00224CCC">
      <w:r>
        <w:t>[2] R4-2010503</w:t>
      </w:r>
      <w:r w:rsidR="00224CCC">
        <w:t xml:space="preserve">, </w:t>
      </w:r>
      <w:r w:rsidR="00224CCC" w:rsidRPr="00417B7C">
        <w:t>Spectrum utilization for 35MHz and 45MHz</w:t>
      </w:r>
      <w:r w:rsidR="00224CCC">
        <w:t xml:space="preserve">, </w:t>
      </w:r>
      <w:r w:rsidR="00224CCC" w:rsidRPr="00417B7C">
        <w:t>Huawei, HiSilicon,</w:t>
      </w:r>
    </w:p>
    <w:p w14:paraId="272FECC9" w14:textId="77777777" w:rsidR="00224CCC" w:rsidRPr="00224CCC" w:rsidRDefault="00224CCC" w:rsidP="00224CCC"/>
    <w:sectPr w:rsidR="00224CCC" w:rsidRPr="00224CCC"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72A44" w14:textId="77777777" w:rsidR="00CD2DCE" w:rsidRDefault="00CD2DCE">
      <w:r>
        <w:separator/>
      </w:r>
    </w:p>
  </w:endnote>
  <w:endnote w:type="continuationSeparator" w:id="0">
    <w:p w14:paraId="00897D17" w14:textId="77777777" w:rsidR="00CD2DCE" w:rsidRDefault="00CD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18C9D" w14:textId="77777777" w:rsidR="00CD2DCE" w:rsidRDefault="00CD2DCE">
      <w:r>
        <w:separator/>
      </w:r>
    </w:p>
  </w:footnote>
  <w:footnote w:type="continuationSeparator" w:id="0">
    <w:p w14:paraId="59E1C32A" w14:textId="77777777" w:rsidR="00CD2DCE" w:rsidRDefault="00CD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751C26"/>
    <w:multiLevelType w:val="hybridMultilevel"/>
    <w:tmpl w:val="0B1A3148"/>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CC3BED"/>
    <w:multiLevelType w:val="hybridMultilevel"/>
    <w:tmpl w:val="46545394"/>
    <w:lvl w:ilvl="0" w:tplc="C9E283DA">
      <w:start w:val="1"/>
      <w:numFmt w:val="bullet"/>
      <w:lvlText w:val="•"/>
      <w:lvlJc w:val="left"/>
      <w:pPr>
        <w:tabs>
          <w:tab w:val="num" w:pos="720"/>
        </w:tabs>
        <w:ind w:left="720" w:hanging="360"/>
      </w:pPr>
      <w:rPr>
        <w:rFonts w:ascii="Arial" w:hAnsi="Arial" w:hint="default"/>
      </w:rPr>
    </w:lvl>
    <w:lvl w:ilvl="1" w:tplc="AECC63D6" w:tentative="1">
      <w:start w:val="1"/>
      <w:numFmt w:val="bullet"/>
      <w:lvlText w:val="•"/>
      <w:lvlJc w:val="left"/>
      <w:pPr>
        <w:tabs>
          <w:tab w:val="num" w:pos="1440"/>
        </w:tabs>
        <w:ind w:left="1440" w:hanging="360"/>
      </w:pPr>
      <w:rPr>
        <w:rFonts w:ascii="Arial" w:hAnsi="Arial" w:hint="default"/>
      </w:rPr>
    </w:lvl>
    <w:lvl w:ilvl="2" w:tplc="8488B58C" w:tentative="1">
      <w:start w:val="1"/>
      <w:numFmt w:val="bullet"/>
      <w:lvlText w:val="•"/>
      <w:lvlJc w:val="left"/>
      <w:pPr>
        <w:tabs>
          <w:tab w:val="num" w:pos="2160"/>
        </w:tabs>
        <w:ind w:left="2160" w:hanging="360"/>
      </w:pPr>
      <w:rPr>
        <w:rFonts w:ascii="Arial" w:hAnsi="Arial" w:hint="default"/>
      </w:rPr>
    </w:lvl>
    <w:lvl w:ilvl="3" w:tplc="719AB016" w:tentative="1">
      <w:start w:val="1"/>
      <w:numFmt w:val="bullet"/>
      <w:lvlText w:val="•"/>
      <w:lvlJc w:val="left"/>
      <w:pPr>
        <w:tabs>
          <w:tab w:val="num" w:pos="2880"/>
        </w:tabs>
        <w:ind w:left="2880" w:hanging="360"/>
      </w:pPr>
      <w:rPr>
        <w:rFonts w:ascii="Arial" w:hAnsi="Arial" w:hint="default"/>
      </w:rPr>
    </w:lvl>
    <w:lvl w:ilvl="4" w:tplc="B8ECE6A4" w:tentative="1">
      <w:start w:val="1"/>
      <w:numFmt w:val="bullet"/>
      <w:lvlText w:val="•"/>
      <w:lvlJc w:val="left"/>
      <w:pPr>
        <w:tabs>
          <w:tab w:val="num" w:pos="3600"/>
        </w:tabs>
        <w:ind w:left="3600" w:hanging="360"/>
      </w:pPr>
      <w:rPr>
        <w:rFonts w:ascii="Arial" w:hAnsi="Arial" w:hint="default"/>
      </w:rPr>
    </w:lvl>
    <w:lvl w:ilvl="5" w:tplc="BF603DEE" w:tentative="1">
      <w:start w:val="1"/>
      <w:numFmt w:val="bullet"/>
      <w:lvlText w:val="•"/>
      <w:lvlJc w:val="left"/>
      <w:pPr>
        <w:tabs>
          <w:tab w:val="num" w:pos="4320"/>
        </w:tabs>
        <w:ind w:left="4320" w:hanging="360"/>
      </w:pPr>
      <w:rPr>
        <w:rFonts w:ascii="Arial" w:hAnsi="Arial" w:hint="default"/>
      </w:rPr>
    </w:lvl>
    <w:lvl w:ilvl="6" w:tplc="5F6641CA" w:tentative="1">
      <w:start w:val="1"/>
      <w:numFmt w:val="bullet"/>
      <w:lvlText w:val="•"/>
      <w:lvlJc w:val="left"/>
      <w:pPr>
        <w:tabs>
          <w:tab w:val="num" w:pos="5040"/>
        </w:tabs>
        <w:ind w:left="5040" w:hanging="360"/>
      </w:pPr>
      <w:rPr>
        <w:rFonts w:ascii="Arial" w:hAnsi="Arial" w:hint="default"/>
      </w:rPr>
    </w:lvl>
    <w:lvl w:ilvl="7" w:tplc="2F2E5D68" w:tentative="1">
      <w:start w:val="1"/>
      <w:numFmt w:val="bullet"/>
      <w:lvlText w:val="•"/>
      <w:lvlJc w:val="left"/>
      <w:pPr>
        <w:tabs>
          <w:tab w:val="num" w:pos="5760"/>
        </w:tabs>
        <w:ind w:left="5760" w:hanging="360"/>
      </w:pPr>
      <w:rPr>
        <w:rFonts w:ascii="Arial" w:hAnsi="Arial" w:hint="default"/>
      </w:rPr>
    </w:lvl>
    <w:lvl w:ilvl="8" w:tplc="D9FA0B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502DE6"/>
    <w:multiLevelType w:val="hybridMultilevel"/>
    <w:tmpl w:val="20C0B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313B68"/>
    <w:multiLevelType w:val="hybridMultilevel"/>
    <w:tmpl w:val="76D08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202176"/>
    <w:multiLevelType w:val="hybridMultilevel"/>
    <w:tmpl w:val="B1626D28"/>
    <w:lvl w:ilvl="0" w:tplc="F5742E74">
      <w:start w:val="1"/>
      <w:numFmt w:val="bullet"/>
      <w:lvlText w:val="•"/>
      <w:lvlJc w:val="left"/>
      <w:pPr>
        <w:tabs>
          <w:tab w:val="num" w:pos="720"/>
        </w:tabs>
        <w:ind w:left="720" w:hanging="360"/>
      </w:pPr>
      <w:rPr>
        <w:rFonts w:ascii="Arial" w:hAnsi="Arial" w:hint="default"/>
      </w:rPr>
    </w:lvl>
    <w:lvl w:ilvl="1" w:tplc="A3404108" w:tentative="1">
      <w:start w:val="1"/>
      <w:numFmt w:val="bullet"/>
      <w:lvlText w:val="•"/>
      <w:lvlJc w:val="left"/>
      <w:pPr>
        <w:tabs>
          <w:tab w:val="num" w:pos="1440"/>
        </w:tabs>
        <w:ind w:left="1440" w:hanging="360"/>
      </w:pPr>
      <w:rPr>
        <w:rFonts w:ascii="Arial" w:hAnsi="Arial" w:hint="default"/>
      </w:rPr>
    </w:lvl>
    <w:lvl w:ilvl="2" w:tplc="3B28B5C8" w:tentative="1">
      <w:start w:val="1"/>
      <w:numFmt w:val="bullet"/>
      <w:lvlText w:val="•"/>
      <w:lvlJc w:val="left"/>
      <w:pPr>
        <w:tabs>
          <w:tab w:val="num" w:pos="2160"/>
        </w:tabs>
        <w:ind w:left="2160" w:hanging="360"/>
      </w:pPr>
      <w:rPr>
        <w:rFonts w:ascii="Arial" w:hAnsi="Arial" w:hint="default"/>
      </w:rPr>
    </w:lvl>
    <w:lvl w:ilvl="3" w:tplc="3D1E1856" w:tentative="1">
      <w:start w:val="1"/>
      <w:numFmt w:val="bullet"/>
      <w:lvlText w:val="•"/>
      <w:lvlJc w:val="left"/>
      <w:pPr>
        <w:tabs>
          <w:tab w:val="num" w:pos="2880"/>
        </w:tabs>
        <w:ind w:left="2880" w:hanging="360"/>
      </w:pPr>
      <w:rPr>
        <w:rFonts w:ascii="Arial" w:hAnsi="Arial" w:hint="default"/>
      </w:rPr>
    </w:lvl>
    <w:lvl w:ilvl="4" w:tplc="1DAA86A4" w:tentative="1">
      <w:start w:val="1"/>
      <w:numFmt w:val="bullet"/>
      <w:lvlText w:val="•"/>
      <w:lvlJc w:val="left"/>
      <w:pPr>
        <w:tabs>
          <w:tab w:val="num" w:pos="3600"/>
        </w:tabs>
        <w:ind w:left="3600" w:hanging="360"/>
      </w:pPr>
      <w:rPr>
        <w:rFonts w:ascii="Arial" w:hAnsi="Arial" w:hint="default"/>
      </w:rPr>
    </w:lvl>
    <w:lvl w:ilvl="5" w:tplc="BA06F9EA" w:tentative="1">
      <w:start w:val="1"/>
      <w:numFmt w:val="bullet"/>
      <w:lvlText w:val="•"/>
      <w:lvlJc w:val="left"/>
      <w:pPr>
        <w:tabs>
          <w:tab w:val="num" w:pos="4320"/>
        </w:tabs>
        <w:ind w:left="4320" w:hanging="360"/>
      </w:pPr>
      <w:rPr>
        <w:rFonts w:ascii="Arial" w:hAnsi="Arial" w:hint="default"/>
      </w:rPr>
    </w:lvl>
    <w:lvl w:ilvl="6" w:tplc="43103374" w:tentative="1">
      <w:start w:val="1"/>
      <w:numFmt w:val="bullet"/>
      <w:lvlText w:val="•"/>
      <w:lvlJc w:val="left"/>
      <w:pPr>
        <w:tabs>
          <w:tab w:val="num" w:pos="5040"/>
        </w:tabs>
        <w:ind w:left="5040" w:hanging="360"/>
      </w:pPr>
      <w:rPr>
        <w:rFonts w:ascii="Arial" w:hAnsi="Arial" w:hint="default"/>
      </w:rPr>
    </w:lvl>
    <w:lvl w:ilvl="7" w:tplc="7130A06C" w:tentative="1">
      <w:start w:val="1"/>
      <w:numFmt w:val="bullet"/>
      <w:lvlText w:val="•"/>
      <w:lvlJc w:val="left"/>
      <w:pPr>
        <w:tabs>
          <w:tab w:val="num" w:pos="5760"/>
        </w:tabs>
        <w:ind w:left="5760" w:hanging="360"/>
      </w:pPr>
      <w:rPr>
        <w:rFonts w:ascii="Arial" w:hAnsi="Arial" w:hint="default"/>
      </w:rPr>
    </w:lvl>
    <w:lvl w:ilvl="8" w:tplc="FB2667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7"/>
  </w:num>
  <w:num w:numId="4">
    <w:abstractNumId w:val="14"/>
  </w:num>
  <w:num w:numId="5">
    <w:abstractNumId w:val="4"/>
  </w:num>
  <w:num w:numId="6">
    <w:abstractNumId w:val="5"/>
  </w:num>
  <w:num w:numId="7">
    <w:abstractNumId w:val="11"/>
  </w:num>
  <w:num w:numId="8">
    <w:abstractNumId w:val="13"/>
  </w:num>
  <w:num w:numId="9">
    <w:abstractNumId w:val="6"/>
  </w:num>
  <w:num w:numId="10">
    <w:abstractNumId w:val="2"/>
  </w:num>
  <w:num w:numId="11">
    <w:abstractNumId w:val="9"/>
  </w:num>
  <w:num w:numId="12">
    <w:abstractNumId w:val="0"/>
  </w:num>
  <w:num w:numId="13">
    <w:abstractNumId w:val="3"/>
  </w:num>
  <w:num w:numId="14">
    <w:abstractNumId w:val="8"/>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19B2"/>
    <w:rsid w:val="000748D4"/>
    <w:rsid w:val="00077A45"/>
    <w:rsid w:val="00080512"/>
    <w:rsid w:val="000822D0"/>
    <w:rsid w:val="00090A8C"/>
    <w:rsid w:val="000A3027"/>
    <w:rsid w:val="000A6F18"/>
    <w:rsid w:val="000A768A"/>
    <w:rsid w:val="000A79A6"/>
    <w:rsid w:val="000B19FC"/>
    <w:rsid w:val="000C25AE"/>
    <w:rsid w:val="000C30A0"/>
    <w:rsid w:val="000C671E"/>
    <w:rsid w:val="000C7FE5"/>
    <w:rsid w:val="000D0F18"/>
    <w:rsid w:val="000D58AB"/>
    <w:rsid w:val="000F6E95"/>
    <w:rsid w:val="00100F8D"/>
    <w:rsid w:val="00115B6D"/>
    <w:rsid w:val="00116D98"/>
    <w:rsid w:val="00127402"/>
    <w:rsid w:val="0013324B"/>
    <w:rsid w:val="001342EF"/>
    <w:rsid w:val="00143775"/>
    <w:rsid w:val="001455C7"/>
    <w:rsid w:val="001504AD"/>
    <w:rsid w:val="0015162D"/>
    <w:rsid w:val="00153C24"/>
    <w:rsid w:val="001549E9"/>
    <w:rsid w:val="0016651D"/>
    <w:rsid w:val="001674FB"/>
    <w:rsid w:val="001769D4"/>
    <w:rsid w:val="00181D8D"/>
    <w:rsid w:val="00183FC8"/>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24CCC"/>
    <w:rsid w:val="002347A2"/>
    <w:rsid w:val="00240DA8"/>
    <w:rsid w:val="00241C36"/>
    <w:rsid w:val="002441EE"/>
    <w:rsid w:val="00252AE9"/>
    <w:rsid w:val="0025313C"/>
    <w:rsid w:val="002546D0"/>
    <w:rsid w:val="00255997"/>
    <w:rsid w:val="002570E9"/>
    <w:rsid w:val="002626EA"/>
    <w:rsid w:val="002651DA"/>
    <w:rsid w:val="00271A32"/>
    <w:rsid w:val="002720D3"/>
    <w:rsid w:val="00282BAF"/>
    <w:rsid w:val="0028343C"/>
    <w:rsid w:val="00292864"/>
    <w:rsid w:val="002960E7"/>
    <w:rsid w:val="002975CC"/>
    <w:rsid w:val="002B45D0"/>
    <w:rsid w:val="002B4F8E"/>
    <w:rsid w:val="002B7487"/>
    <w:rsid w:val="002C22E7"/>
    <w:rsid w:val="002C4272"/>
    <w:rsid w:val="002C5181"/>
    <w:rsid w:val="002E2E09"/>
    <w:rsid w:val="002F2CA6"/>
    <w:rsid w:val="002F3E23"/>
    <w:rsid w:val="0030188A"/>
    <w:rsid w:val="00301AC5"/>
    <w:rsid w:val="00307BF3"/>
    <w:rsid w:val="00314938"/>
    <w:rsid w:val="00316E02"/>
    <w:rsid w:val="003172DC"/>
    <w:rsid w:val="003218A8"/>
    <w:rsid w:val="003306BE"/>
    <w:rsid w:val="003326BC"/>
    <w:rsid w:val="003356A0"/>
    <w:rsid w:val="003379D3"/>
    <w:rsid w:val="003454B6"/>
    <w:rsid w:val="00352584"/>
    <w:rsid w:val="0035462D"/>
    <w:rsid w:val="00356B78"/>
    <w:rsid w:val="003669FF"/>
    <w:rsid w:val="003702B4"/>
    <w:rsid w:val="00375A0F"/>
    <w:rsid w:val="00380463"/>
    <w:rsid w:val="00380771"/>
    <w:rsid w:val="00383102"/>
    <w:rsid w:val="003831FB"/>
    <w:rsid w:val="003849D0"/>
    <w:rsid w:val="003900BC"/>
    <w:rsid w:val="00390E19"/>
    <w:rsid w:val="003970F9"/>
    <w:rsid w:val="003A1E22"/>
    <w:rsid w:val="003A4970"/>
    <w:rsid w:val="003B1CA1"/>
    <w:rsid w:val="003B68C6"/>
    <w:rsid w:val="003B6E7B"/>
    <w:rsid w:val="003B773C"/>
    <w:rsid w:val="003C3971"/>
    <w:rsid w:val="003D1785"/>
    <w:rsid w:val="003D298D"/>
    <w:rsid w:val="003D4B96"/>
    <w:rsid w:val="003D78BF"/>
    <w:rsid w:val="003E4F2F"/>
    <w:rsid w:val="003E6A2E"/>
    <w:rsid w:val="003E6AC1"/>
    <w:rsid w:val="003F036A"/>
    <w:rsid w:val="003F3474"/>
    <w:rsid w:val="003F4911"/>
    <w:rsid w:val="00401417"/>
    <w:rsid w:val="004018CF"/>
    <w:rsid w:val="00401CFC"/>
    <w:rsid w:val="00414E62"/>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04C1D"/>
    <w:rsid w:val="00523F49"/>
    <w:rsid w:val="00526BF0"/>
    <w:rsid w:val="00533759"/>
    <w:rsid w:val="005352B9"/>
    <w:rsid w:val="00543E6C"/>
    <w:rsid w:val="00543F16"/>
    <w:rsid w:val="00544224"/>
    <w:rsid w:val="0054554D"/>
    <w:rsid w:val="005514FA"/>
    <w:rsid w:val="005515B5"/>
    <w:rsid w:val="0055178E"/>
    <w:rsid w:val="0055712A"/>
    <w:rsid w:val="005617D6"/>
    <w:rsid w:val="00565087"/>
    <w:rsid w:val="00565E53"/>
    <w:rsid w:val="00565ECD"/>
    <w:rsid w:val="00571F31"/>
    <w:rsid w:val="005735AC"/>
    <w:rsid w:val="005A5B0D"/>
    <w:rsid w:val="005A769D"/>
    <w:rsid w:val="005B39E5"/>
    <w:rsid w:val="005B59CB"/>
    <w:rsid w:val="005B5BB1"/>
    <w:rsid w:val="005B640C"/>
    <w:rsid w:val="005C6C1A"/>
    <w:rsid w:val="005C75D9"/>
    <w:rsid w:val="005C7C17"/>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16A"/>
    <w:rsid w:val="00676AE3"/>
    <w:rsid w:val="00691386"/>
    <w:rsid w:val="0069587A"/>
    <w:rsid w:val="00697342"/>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6F5B"/>
    <w:rsid w:val="00734A5B"/>
    <w:rsid w:val="00744E76"/>
    <w:rsid w:val="00750ED6"/>
    <w:rsid w:val="0075320E"/>
    <w:rsid w:val="00767B9D"/>
    <w:rsid w:val="00777DF1"/>
    <w:rsid w:val="00781F0F"/>
    <w:rsid w:val="00785853"/>
    <w:rsid w:val="00794B20"/>
    <w:rsid w:val="007A0049"/>
    <w:rsid w:val="007A3A41"/>
    <w:rsid w:val="007B1D4E"/>
    <w:rsid w:val="007C2D43"/>
    <w:rsid w:val="007C3FB5"/>
    <w:rsid w:val="007C58CB"/>
    <w:rsid w:val="007D2B81"/>
    <w:rsid w:val="007D783A"/>
    <w:rsid w:val="007E18B5"/>
    <w:rsid w:val="007E2652"/>
    <w:rsid w:val="007F274A"/>
    <w:rsid w:val="007F5FBB"/>
    <w:rsid w:val="0080248A"/>
    <w:rsid w:val="00802889"/>
    <w:rsid w:val="008028A4"/>
    <w:rsid w:val="008105C8"/>
    <w:rsid w:val="008220F8"/>
    <w:rsid w:val="00826027"/>
    <w:rsid w:val="00830CA1"/>
    <w:rsid w:val="00835CCF"/>
    <w:rsid w:val="0084022B"/>
    <w:rsid w:val="00840B0D"/>
    <w:rsid w:val="00853FB9"/>
    <w:rsid w:val="008627BF"/>
    <w:rsid w:val="0086369F"/>
    <w:rsid w:val="008768CA"/>
    <w:rsid w:val="0088077F"/>
    <w:rsid w:val="00882466"/>
    <w:rsid w:val="008916C7"/>
    <w:rsid w:val="0089283A"/>
    <w:rsid w:val="00894BF1"/>
    <w:rsid w:val="008B4033"/>
    <w:rsid w:val="008D3942"/>
    <w:rsid w:val="008E0082"/>
    <w:rsid w:val="008E161D"/>
    <w:rsid w:val="008E224E"/>
    <w:rsid w:val="008E33AB"/>
    <w:rsid w:val="008E4719"/>
    <w:rsid w:val="008E56FC"/>
    <w:rsid w:val="008E79DC"/>
    <w:rsid w:val="0090271F"/>
    <w:rsid w:val="00902E23"/>
    <w:rsid w:val="009031A2"/>
    <w:rsid w:val="0091348E"/>
    <w:rsid w:val="00926DB8"/>
    <w:rsid w:val="0093435C"/>
    <w:rsid w:val="00934CE4"/>
    <w:rsid w:val="00942EC2"/>
    <w:rsid w:val="00952765"/>
    <w:rsid w:val="00954F24"/>
    <w:rsid w:val="009760C0"/>
    <w:rsid w:val="009836D2"/>
    <w:rsid w:val="00986CD1"/>
    <w:rsid w:val="009923B0"/>
    <w:rsid w:val="00994AFD"/>
    <w:rsid w:val="009A1188"/>
    <w:rsid w:val="009A5CA9"/>
    <w:rsid w:val="009A684C"/>
    <w:rsid w:val="009A7386"/>
    <w:rsid w:val="009B0DAF"/>
    <w:rsid w:val="009B1CC3"/>
    <w:rsid w:val="009B552F"/>
    <w:rsid w:val="009C0361"/>
    <w:rsid w:val="009C2290"/>
    <w:rsid w:val="009D3240"/>
    <w:rsid w:val="009D6726"/>
    <w:rsid w:val="009E0E2F"/>
    <w:rsid w:val="009E48AC"/>
    <w:rsid w:val="009E4AC1"/>
    <w:rsid w:val="009E7237"/>
    <w:rsid w:val="009F1E9C"/>
    <w:rsid w:val="009F37B7"/>
    <w:rsid w:val="009F63B4"/>
    <w:rsid w:val="00A006D8"/>
    <w:rsid w:val="00A014CE"/>
    <w:rsid w:val="00A0615D"/>
    <w:rsid w:val="00A10617"/>
    <w:rsid w:val="00A10F02"/>
    <w:rsid w:val="00A1243C"/>
    <w:rsid w:val="00A164B4"/>
    <w:rsid w:val="00A205C1"/>
    <w:rsid w:val="00A33D23"/>
    <w:rsid w:val="00A367D0"/>
    <w:rsid w:val="00A4163B"/>
    <w:rsid w:val="00A45401"/>
    <w:rsid w:val="00A53724"/>
    <w:rsid w:val="00A613C0"/>
    <w:rsid w:val="00A72550"/>
    <w:rsid w:val="00A737AF"/>
    <w:rsid w:val="00A73BC6"/>
    <w:rsid w:val="00A82346"/>
    <w:rsid w:val="00A82DD7"/>
    <w:rsid w:val="00A875E9"/>
    <w:rsid w:val="00AA29B0"/>
    <w:rsid w:val="00AB3B29"/>
    <w:rsid w:val="00AB6DB1"/>
    <w:rsid w:val="00AB6FB1"/>
    <w:rsid w:val="00AD409D"/>
    <w:rsid w:val="00AD4910"/>
    <w:rsid w:val="00AD5658"/>
    <w:rsid w:val="00B03F40"/>
    <w:rsid w:val="00B06C9A"/>
    <w:rsid w:val="00B10400"/>
    <w:rsid w:val="00B111CC"/>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83D7E"/>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3703"/>
    <w:rsid w:val="00C03DC4"/>
    <w:rsid w:val="00C04507"/>
    <w:rsid w:val="00C14BCA"/>
    <w:rsid w:val="00C1689C"/>
    <w:rsid w:val="00C175E7"/>
    <w:rsid w:val="00C33079"/>
    <w:rsid w:val="00C40AA4"/>
    <w:rsid w:val="00C438B3"/>
    <w:rsid w:val="00C4507D"/>
    <w:rsid w:val="00C450E5"/>
    <w:rsid w:val="00C45231"/>
    <w:rsid w:val="00C54BC3"/>
    <w:rsid w:val="00C56D4F"/>
    <w:rsid w:val="00C628C1"/>
    <w:rsid w:val="00C62C0F"/>
    <w:rsid w:val="00C72833"/>
    <w:rsid w:val="00C842B7"/>
    <w:rsid w:val="00C84C03"/>
    <w:rsid w:val="00C91808"/>
    <w:rsid w:val="00C93F40"/>
    <w:rsid w:val="00C968B0"/>
    <w:rsid w:val="00CA3D0C"/>
    <w:rsid w:val="00CA3E99"/>
    <w:rsid w:val="00CA792C"/>
    <w:rsid w:val="00CB49AB"/>
    <w:rsid w:val="00CB4C82"/>
    <w:rsid w:val="00CD2DCE"/>
    <w:rsid w:val="00CD3DA3"/>
    <w:rsid w:val="00D048ED"/>
    <w:rsid w:val="00D07607"/>
    <w:rsid w:val="00D1114B"/>
    <w:rsid w:val="00D11C56"/>
    <w:rsid w:val="00D205A9"/>
    <w:rsid w:val="00D22A91"/>
    <w:rsid w:val="00D25FC8"/>
    <w:rsid w:val="00D26C7C"/>
    <w:rsid w:val="00D31318"/>
    <w:rsid w:val="00D62426"/>
    <w:rsid w:val="00D6371A"/>
    <w:rsid w:val="00D63E3B"/>
    <w:rsid w:val="00D64934"/>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0521D"/>
    <w:rsid w:val="00E16F3C"/>
    <w:rsid w:val="00E23901"/>
    <w:rsid w:val="00E2689C"/>
    <w:rsid w:val="00E460C3"/>
    <w:rsid w:val="00E467BA"/>
    <w:rsid w:val="00E501D1"/>
    <w:rsid w:val="00E52403"/>
    <w:rsid w:val="00E5623E"/>
    <w:rsid w:val="00E56C01"/>
    <w:rsid w:val="00E5733E"/>
    <w:rsid w:val="00E63960"/>
    <w:rsid w:val="00E731CD"/>
    <w:rsid w:val="00E77645"/>
    <w:rsid w:val="00E8365A"/>
    <w:rsid w:val="00E8391E"/>
    <w:rsid w:val="00E93E0B"/>
    <w:rsid w:val="00E94A24"/>
    <w:rsid w:val="00E96FBB"/>
    <w:rsid w:val="00E97F39"/>
    <w:rsid w:val="00EA205F"/>
    <w:rsid w:val="00EA3248"/>
    <w:rsid w:val="00EB0004"/>
    <w:rsid w:val="00EB1F97"/>
    <w:rsid w:val="00EB453E"/>
    <w:rsid w:val="00EB4D66"/>
    <w:rsid w:val="00EB58A6"/>
    <w:rsid w:val="00EC4A25"/>
    <w:rsid w:val="00EC759F"/>
    <w:rsid w:val="00ED7CE3"/>
    <w:rsid w:val="00EE1A67"/>
    <w:rsid w:val="00EE24A0"/>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351B"/>
    <w:rsid w:val="00F74767"/>
    <w:rsid w:val="00F76C3F"/>
    <w:rsid w:val="00F84ABD"/>
    <w:rsid w:val="00FA1266"/>
    <w:rsid w:val="00FA391B"/>
    <w:rsid w:val="00FB1E89"/>
    <w:rsid w:val="00FB7692"/>
    <w:rsid w:val="00FC1192"/>
    <w:rsid w:val="00FD19B4"/>
    <w:rsid w:val="00FD5DF1"/>
    <w:rsid w:val="00FE00A6"/>
    <w:rsid w:val="00FF1F56"/>
    <w:rsid w:val="00FF4238"/>
    <w:rsid w:val="00FF53D4"/>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B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926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26DB8"/>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926DB8"/>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926DB8"/>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926DB8"/>
    <w:pPr>
      <w:ind w:left="1701" w:hanging="1701"/>
      <w:outlineLvl w:val="4"/>
    </w:pPr>
    <w:rPr>
      <w:sz w:val="22"/>
    </w:rPr>
  </w:style>
  <w:style w:type="paragraph" w:styleId="6">
    <w:name w:val="heading 6"/>
    <w:aliases w:val="T1,Header 6"/>
    <w:basedOn w:val="H6"/>
    <w:next w:val="a0"/>
    <w:link w:val="6Char"/>
    <w:qFormat/>
    <w:rsid w:val="00926DB8"/>
    <w:pPr>
      <w:outlineLvl w:val="5"/>
    </w:pPr>
  </w:style>
  <w:style w:type="paragraph" w:styleId="7">
    <w:name w:val="heading 7"/>
    <w:basedOn w:val="H6"/>
    <w:next w:val="a0"/>
    <w:link w:val="7Char"/>
    <w:qFormat/>
    <w:rsid w:val="00926DB8"/>
    <w:pPr>
      <w:outlineLvl w:val="6"/>
    </w:pPr>
  </w:style>
  <w:style w:type="paragraph" w:styleId="8">
    <w:name w:val="heading 8"/>
    <w:basedOn w:val="10"/>
    <w:next w:val="a0"/>
    <w:link w:val="8Char"/>
    <w:qFormat/>
    <w:rsid w:val="00926DB8"/>
    <w:pPr>
      <w:ind w:left="0" w:firstLine="0"/>
      <w:outlineLvl w:val="7"/>
    </w:pPr>
  </w:style>
  <w:style w:type="paragraph" w:styleId="9">
    <w:name w:val="heading 9"/>
    <w:basedOn w:val="8"/>
    <w:next w:val="a0"/>
    <w:link w:val="9Char"/>
    <w:qFormat/>
    <w:rsid w:val="00926DB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rsid w:val="007C3FB5"/>
    <w:pPr>
      <w:ind w:left="1134" w:hanging="1134"/>
    </w:pPr>
  </w:style>
  <w:style w:type="paragraph" w:styleId="21">
    <w:name w:val="toc 2"/>
    <w:basedOn w:val="11"/>
    <w:uiPriority w:val="39"/>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eastAsia="宋体"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a8">
    <w:name w:val="List Paragraph"/>
    <w:basedOn w:val="a0"/>
    <w:link w:val="Char3"/>
    <w:uiPriority w:val="34"/>
    <w:qFormat/>
    <w:rsid w:val="00C40AA4"/>
    <w:pPr>
      <w:ind w:firstLineChars="200" w:firstLine="420"/>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eastAsia="宋体"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宋体"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eastAsia="宋体"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semiHidden/>
    <w:unhideWhenUsed/>
    <w:qFormat/>
    <w:rsid w:val="00FD19B4"/>
    <w:rPr>
      <w:rFonts w:asciiTheme="majorHAnsi" w:eastAsia="黑体" w:hAnsiTheme="majorHAnsi" w:cstheme="majorBidi"/>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spacing w:before="480" w:after="120"/>
      <w:jc w:val="center"/>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0"/>
    <w:rsid w:val="00FD19B4"/>
    <w:pPr>
      <w:tabs>
        <w:tab w:val="left" w:pos="1134"/>
        <w:tab w:val="left" w:pos="1871"/>
        <w:tab w:val="left" w:pos="2268"/>
      </w:tabs>
      <w:spacing w:before="120" w:after="0"/>
    </w:pPr>
    <w:rPr>
      <w:rFonts w:eastAsia="Times New Roman"/>
    </w:rPr>
  </w:style>
  <w:style w:type="paragraph" w:customStyle="1" w:styleId="TableNo">
    <w:name w:val="Table_No"/>
    <w:basedOn w:val="a0"/>
    <w:next w:val="a0"/>
    <w:rsid w:val="00FD19B4"/>
    <w:pPr>
      <w:keepNext/>
      <w:tabs>
        <w:tab w:val="left" w:pos="1134"/>
        <w:tab w:val="left" w:pos="1871"/>
        <w:tab w:val="left" w:pos="2268"/>
      </w:tabs>
      <w:spacing w:before="560" w:after="120"/>
      <w:jc w:val="center"/>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spacing w:before="120" w:after="0"/>
      <w:jc w:val="center"/>
    </w:pPr>
    <w:rPr>
      <w:rFonts w:eastAsia="Times New Roman"/>
      <w:sz w:val="24"/>
    </w:rPr>
  </w:style>
  <w:style w:type="paragraph" w:customStyle="1" w:styleId="Rientra1">
    <w:name w:val="Rientra1"/>
    <w:basedOn w:val="a0"/>
    <w:uiPriority w:val="99"/>
    <w:rsid w:val="00FD19B4"/>
    <w:pPr>
      <w:numPr>
        <w:numId w:val="2"/>
      </w:numPr>
      <w:tabs>
        <w:tab w:val="left" w:pos="0"/>
      </w:tabs>
      <w:suppressAutoHyphens/>
      <w:spacing w:before="60" w:after="60"/>
      <w:jc w:val="both"/>
    </w:pPr>
  </w:style>
  <w:style w:type="paragraph" w:customStyle="1" w:styleId="Tablefin">
    <w:name w:val="Table_fin"/>
    <w:basedOn w:val="a0"/>
    <w:next w:val="a0"/>
    <w:rsid w:val="00FD19B4"/>
    <w:pPr>
      <w:suppressAutoHyphens/>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eastAsia="宋体"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35"/>
    <w:semiHidden/>
    <w:rsid w:val="00FD19B4"/>
    <w:rPr>
      <w:rFonts w:asciiTheme="majorHAnsi" w:eastAsia="黑体" w:hAnsiTheme="majorHAnsi" w:cstheme="majorBidi"/>
      <w:lang w:val="en-GB"/>
    </w:rPr>
  </w:style>
  <w:style w:type="paragraph" w:customStyle="1" w:styleId="enumlev1">
    <w:name w:val="enumlev1"/>
    <w:basedOn w:val="a0"/>
    <w:rsid w:val="00FD19B4"/>
    <w:pPr>
      <w:tabs>
        <w:tab w:val="left" w:pos="1134"/>
        <w:tab w:val="left" w:pos="1871"/>
        <w:tab w:val="left" w:pos="2608"/>
        <w:tab w:val="left" w:pos="3345"/>
      </w:tabs>
      <w:spacing w:before="80" w:after="0"/>
      <w:ind w:left="1134" w:hanging="1134"/>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spacing w:before="120" w:after="0"/>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eastAsia="宋体" w:hAnsi="Arial"/>
      <w:lang w:val="en-GB"/>
    </w:rPr>
  </w:style>
  <w:style w:type="character" w:customStyle="1" w:styleId="7Char">
    <w:name w:val="标题 7 Char"/>
    <w:basedOn w:val="a1"/>
    <w:link w:val="7"/>
    <w:rsid w:val="00FD19B4"/>
    <w:rPr>
      <w:rFonts w:ascii="Arial" w:eastAsia="宋体" w:hAnsi="Arial"/>
      <w:lang w:val="en-GB"/>
    </w:rPr>
  </w:style>
  <w:style w:type="character" w:customStyle="1" w:styleId="8Char">
    <w:name w:val="标题 8 Char"/>
    <w:basedOn w:val="a1"/>
    <w:link w:val="8"/>
    <w:rsid w:val="00FD19B4"/>
    <w:rPr>
      <w:rFonts w:ascii="Arial" w:eastAsia="宋体" w:hAnsi="Arial"/>
      <w:sz w:val="36"/>
      <w:lang w:val="en-GB"/>
    </w:rPr>
  </w:style>
  <w:style w:type="character" w:customStyle="1" w:styleId="9Char">
    <w:name w:val="标题 9 Char"/>
    <w:basedOn w:val="a1"/>
    <w:link w:val="9"/>
    <w:rsid w:val="00FD19B4"/>
    <w:rPr>
      <w:rFonts w:ascii="Arial" w:eastAsia="宋体"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spacing w:before="360" w:after="240"/>
    </w:pPr>
    <w:rPr>
      <w:rFonts w:eastAsia="Times New Roman"/>
      <w:b/>
      <w:i/>
      <w:sz w:val="26"/>
      <w:lang w:eastAsia="ja-JP"/>
    </w:rPr>
  </w:style>
  <w:style w:type="paragraph" w:customStyle="1" w:styleId="INDENT1">
    <w:name w:val="INDENT1"/>
    <w:basedOn w:val="a0"/>
    <w:rsid w:val="00FD19B4"/>
    <w:pPr>
      <w:ind w:left="851"/>
    </w:pPr>
    <w:rPr>
      <w:rFonts w:eastAsia="Times New Roman"/>
      <w:lang w:eastAsia="ja-JP"/>
    </w:rPr>
  </w:style>
  <w:style w:type="paragraph" w:customStyle="1" w:styleId="INDENT2">
    <w:name w:val="INDENT2"/>
    <w:basedOn w:val="a0"/>
    <w:rsid w:val="00FD19B4"/>
    <w:pPr>
      <w:ind w:left="1135" w:hanging="284"/>
    </w:pPr>
    <w:rPr>
      <w:rFonts w:eastAsia="Times New Roman"/>
      <w:lang w:eastAsia="ja-JP"/>
    </w:rPr>
  </w:style>
  <w:style w:type="paragraph" w:customStyle="1" w:styleId="INDENT3">
    <w:name w:val="INDENT3"/>
    <w:basedOn w:val="a0"/>
    <w:rsid w:val="00FD19B4"/>
    <w:pPr>
      <w:ind w:left="1701" w:hanging="567"/>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0"/>
    <w:rsid w:val="00FD19B4"/>
    <w:pPr>
      <w:keepNext/>
      <w:keepLines/>
    </w:pPr>
    <w:rPr>
      <w:rFonts w:eastAsia="Times New Roman"/>
      <w:b/>
      <w:lang w:eastAsia="ja-JP"/>
    </w:rPr>
  </w:style>
  <w:style w:type="paragraph" w:customStyle="1" w:styleId="CouvRecTitle">
    <w:name w:val="Couv Rec Title"/>
    <w:basedOn w:val="a0"/>
    <w:rsid w:val="00FD19B4"/>
    <w:pPr>
      <w:keepNext/>
      <w:keepLines/>
      <w:spacing w:before="240"/>
      <w:ind w:left="1418"/>
    </w:pPr>
    <w:rPr>
      <w:rFonts w:ascii="Arial" w:eastAsia="Times New Roman" w:hAnsi="Arial"/>
      <w:b/>
      <w:sz w:val="36"/>
      <w:lang w:val="en-US" w:eastAsia="ja-JP"/>
    </w:rPr>
  </w:style>
  <w:style w:type="paragraph" w:styleId="af9">
    <w:name w:val="Plain Text"/>
    <w:basedOn w:val="a0"/>
    <w:link w:val="Char8"/>
    <w:rsid w:val="00FD19B4"/>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ind w:leftChars="400" w:left="851"/>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ind w:left="360" w:hanging="360"/>
    </w:pPr>
    <w:rPr>
      <w:rFonts w:eastAsia="Times New Roman"/>
      <w:lang w:val="x-none" w:eastAsia="x-none"/>
    </w:rPr>
  </w:style>
  <w:style w:type="paragraph" w:customStyle="1" w:styleId="B20">
    <w:name w:val="B2+"/>
    <w:basedOn w:val="B2"/>
    <w:rsid w:val="00FD19B4"/>
    <w:pPr>
      <w:ind w:left="567" w:hanging="283"/>
    </w:pPr>
    <w:rPr>
      <w:rFonts w:eastAsia="Times New Roman"/>
      <w:lang w:val="x-none" w:eastAsia="x-none"/>
    </w:rPr>
  </w:style>
  <w:style w:type="paragraph" w:customStyle="1" w:styleId="B30">
    <w:name w:val="B3+"/>
    <w:basedOn w:val="B3"/>
    <w:rsid w:val="00FD19B4"/>
    <w:pPr>
      <w:tabs>
        <w:tab w:val="num" w:pos="720"/>
        <w:tab w:val="left" w:pos="1134"/>
      </w:tabs>
      <w:ind w:left="720" w:hanging="360"/>
    </w:pPr>
    <w:rPr>
      <w:rFonts w:eastAsia="Times New Roman"/>
      <w:lang w:val="x-none" w:eastAsia="x-none"/>
    </w:rPr>
  </w:style>
  <w:style w:type="paragraph" w:customStyle="1" w:styleId="BL">
    <w:name w:val="BL"/>
    <w:basedOn w:val="a0"/>
    <w:rsid w:val="00FD19B4"/>
    <w:pPr>
      <w:tabs>
        <w:tab w:val="num" w:pos="630"/>
        <w:tab w:val="left" w:pos="851"/>
      </w:tabs>
      <w:ind w:left="630" w:hanging="630"/>
    </w:pPr>
    <w:rPr>
      <w:rFonts w:eastAsia="Times New Roman"/>
      <w:lang w:eastAsia="ja-JP"/>
    </w:rPr>
  </w:style>
  <w:style w:type="paragraph" w:customStyle="1" w:styleId="BN">
    <w:name w:val="BN"/>
    <w:basedOn w:val="a0"/>
    <w:rsid w:val="00FD19B4"/>
    <w:pPr>
      <w:ind w:left="567" w:hanging="283"/>
    </w:pPr>
    <w:rPr>
      <w:rFonts w:eastAsia="Times New Roman"/>
      <w:lang w:eastAsia="ja-JP"/>
    </w:rPr>
  </w:style>
  <w:style w:type="paragraph" w:customStyle="1" w:styleId="FL">
    <w:name w:val="FL"/>
    <w:basedOn w:val="a0"/>
    <w:rsid w:val="00FD19B4"/>
    <w:pPr>
      <w:keepNext/>
      <w:keepLines/>
      <w:spacing w:before="60"/>
      <w:jc w:val="center"/>
    </w:pPr>
    <w:rPr>
      <w:rFonts w:ascii="Arial" w:eastAsia="Times New Roman" w:hAnsi="Arial"/>
      <w:b/>
      <w:lang w:eastAsia="ja-JP"/>
    </w:rPr>
  </w:style>
  <w:style w:type="paragraph" w:customStyle="1" w:styleId="Norma">
    <w:name w:val="Norma"/>
    <w:basedOn w:val="10"/>
    <w:rsid w:val="00FD19B4"/>
    <w:rPr>
      <w:rFonts w:eastAsia="Times New Roman"/>
      <w:lang w:eastAsia="zh-CN"/>
    </w:rPr>
  </w:style>
  <w:style w:type="paragraph" w:customStyle="1" w:styleId="body">
    <w:name w:val="body"/>
    <w:basedOn w:val="a0"/>
    <w:rsid w:val="00FD19B4"/>
    <w:pPr>
      <w:tabs>
        <w:tab w:val="left" w:pos="2160"/>
      </w:tabs>
      <w:spacing w:before="120" w:after="120" w:line="280" w:lineRule="atLeast"/>
      <w:jc w:val="both"/>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spacing w:after="220"/>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spacing w:after="220"/>
      <w:ind w:left="1298"/>
    </w:pPr>
    <w:rPr>
      <w:rFonts w:ascii="Arial" w:eastAsia="MS Mincho" w:hAnsi="Arial"/>
      <w:sz w:val="22"/>
      <w:lang w:val="x-none"/>
    </w:rPr>
  </w:style>
  <w:style w:type="paragraph" w:customStyle="1" w:styleId="B6">
    <w:name w:val="B6"/>
    <w:basedOn w:val="B5"/>
    <w:link w:val="B6Char"/>
    <w:rsid w:val="00FD19B4"/>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rPr>
      <w:rFonts w:ascii="Arial" w:eastAsia="Times New Roman" w:hAnsi="Arial" w:cs="Arial"/>
      <w:b/>
      <w:lang w:eastAsia="ja-JP"/>
    </w:rPr>
  </w:style>
  <w:style w:type="paragraph" w:customStyle="1" w:styleId="Tadc">
    <w:name w:val="Tadc"/>
    <w:basedOn w:val="a0"/>
    <w:rsid w:val="00FD19B4"/>
    <w:rPr>
      <w:rFonts w:eastAsia="Times New Roman" w:cs="v4.2.0"/>
      <w:lang w:eastAsia="en-GB"/>
    </w:rPr>
  </w:style>
  <w:style w:type="character" w:styleId="afb">
    <w:name w:val="Strong"/>
    <w:uiPriority w:val="22"/>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spacing w:line="288" w:lineRule="auto"/>
      <w:ind w:left="1097"/>
      <w:jc w:val="left"/>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rPr>
      <w:rFonts w:eastAsia="MS Mincho"/>
      <w:lang w:val="x-none" w:eastAsia="ja-JP"/>
    </w:rPr>
  </w:style>
  <w:style w:type="paragraph" w:customStyle="1" w:styleId="tabletext1">
    <w:name w:val="table text"/>
    <w:basedOn w:val="a0"/>
    <w:next w:val="a0"/>
    <w:rsid w:val="00FD19B4"/>
    <w:rPr>
      <w:rFonts w:eastAsia="MS Mincho"/>
      <w:i/>
      <w:lang w:eastAsia="ja-JP"/>
    </w:rPr>
  </w:style>
  <w:style w:type="paragraph" w:styleId="53">
    <w:name w:val="List Number 5"/>
    <w:basedOn w:val="a0"/>
    <w:rsid w:val="00FD19B4"/>
    <w:pPr>
      <w:tabs>
        <w:tab w:val="num" w:pos="851"/>
        <w:tab w:val="num" w:pos="1800"/>
      </w:tabs>
      <w:ind w:left="1800" w:hanging="851"/>
    </w:pPr>
    <w:rPr>
      <w:rFonts w:eastAsia="MS Mincho"/>
      <w:lang w:eastAsia="ja-JP"/>
    </w:rPr>
  </w:style>
  <w:style w:type="paragraph" w:styleId="34">
    <w:name w:val="List Number 3"/>
    <w:basedOn w:val="a0"/>
    <w:rsid w:val="00FD19B4"/>
    <w:pPr>
      <w:tabs>
        <w:tab w:val="num" w:pos="926"/>
      </w:tabs>
      <w:ind w:left="926" w:hanging="283"/>
    </w:pPr>
    <w:rPr>
      <w:rFonts w:eastAsia="MS Mincho"/>
      <w:lang w:eastAsia="ja-JP"/>
    </w:rPr>
  </w:style>
  <w:style w:type="paragraph" w:styleId="43">
    <w:name w:val="List Number 4"/>
    <w:basedOn w:val="a0"/>
    <w:rsid w:val="00FD19B4"/>
    <w:pPr>
      <w:tabs>
        <w:tab w:val="num" w:pos="1209"/>
      </w:tabs>
      <w:ind w:left="1209" w:hanging="283"/>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spacing w:before="120" w:after="120"/>
    </w:pPr>
    <w:rPr>
      <w:rFonts w:eastAsia="MS Mincho"/>
      <w:b/>
      <w:lang w:eastAsia="ja-JP"/>
    </w:rPr>
  </w:style>
  <w:style w:type="paragraph" w:customStyle="1" w:styleId="HE">
    <w:name w:val="HE"/>
    <w:basedOn w:val="a0"/>
    <w:rsid w:val="00FD19B4"/>
    <w:pPr>
      <w:spacing w:after="0"/>
    </w:pPr>
    <w:rPr>
      <w:rFonts w:eastAsia="MS Mincho"/>
      <w:b/>
      <w:lang w:eastAsia="ja-JP"/>
    </w:rPr>
  </w:style>
  <w:style w:type="paragraph" w:customStyle="1" w:styleId="HO">
    <w:name w:val="HO"/>
    <w:basedOn w:val="a0"/>
    <w:rsid w:val="00FD19B4"/>
    <w:pPr>
      <w:spacing w:after="0"/>
      <w:jc w:val="right"/>
    </w:pPr>
    <w:rPr>
      <w:rFonts w:eastAsia="MS Mincho"/>
      <w:b/>
      <w:lang w:eastAsia="ja-JP"/>
    </w:rPr>
  </w:style>
  <w:style w:type="paragraph" w:customStyle="1" w:styleId="WP">
    <w:name w:val="WP"/>
    <w:basedOn w:val="a0"/>
    <w:rsid w:val="00FD19B4"/>
    <w:pPr>
      <w:spacing w:after="0"/>
      <w:jc w:val="both"/>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spacing w:before="120" w:after="120"/>
    </w:pPr>
    <w:rPr>
      <w:rFonts w:eastAsia="MS Mincho"/>
      <w:lang w:val="en-US" w:eastAsia="ja-JP"/>
    </w:rPr>
  </w:style>
  <w:style w:type="paragraph" w:customStyle="1" w:styleId="Teststep">
    <w:name w:val="Test step"/>
    <w:basedOn w:val="a0"/>
    <w:rsid w:val="00FD19B4"/>
    <w:pPr>
      <w:tabs>
        <w:tab w:val="left" w:pos="720"/>
      </w:tabs>
      <w:spacing w:after="0"/>
      <w:ind w:left="720" w:hanging="720"/>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ind w:left="400" w:hanging="400"/>
      <w:jc w:val="center"/>
    </w:pPr>
    <w:rPr>
      <w:rFonts w:eastAsia="MS Mincho"/>
      <w:b/>
      <w:lang w:eastAsia="ja-JP"/>
    </w:rPr>
  </w:style>
  <w:style w:type="paragraph" w:customStyle="1" w:styleId="table">
    <w:name w:val="table"/>
    <w:basedOn w:val="a0"/>
    <w:next w:val="a0"/>
    <w:rsid w:val="00FD19B4"/>
    <w:pPr>
      <w:spacing w:after="0"/>
      <w:jc w:val="center"/>
    </w:pPr>
    <w:rPr>
      <w:rFonts w:eastAsia="MS Mincho"/>
      <w:lang w:val="en-US" w:eastAsia="ja-JP"/>
    </w:rPr>
  </w:style>
  <w:style w:type="paragraph" w:customStyle="1" w:styleId="t2">
    <w:name w:val="t2"/>
    <w:basedOn w:val="a0"/>
    <w:rsid w:val="00FD19B4"/>
    <w:pPr>
      <w:spacing w:after="0"/>
    </w:pPr>
    <w:rPr>
      <w:rFonts w:eastAsia="MS Mincho"/>
      <w:lang w:eastAsia="ja-JP"/>
    </w:rPr>
  </w:style>
  <w:style w:type="paragraph" w:customStyle="1" w:styleId="Copyright">
    <w:name w:val="Copyright"/>
    <w:basedOn w:val="a0"/>
    <w:rsid w:val="00FD19B4"/>
    <w:pPr>
      <w:spacing w:after="0"/>
      <w:jc w:val="center"/>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FD19B4"/>
    <w:pPr>
      <w:spacing w:after="220"/>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0"/>
    <w:rsid w:val="00FD19B4"/>
    <w:pPr>
      <w:spacing w:before="120"/>
      <w:outlineLvl w:val="2"/>
    </w:pPr>
    <w:rPr>
      <w:rFonts w:eastAsia="MS Mincho"/>
      <w:sz w:val="28"/>
      <w:lang w:val="x-none" w:eastAsia="de-DE"/>
    </w:rPr>
  </w:style>
  <w:style w:type="paragraph" w:customStyle="1" w:styleId="Bullets">
    <w:name w:val="Bullets"/>
    <w:basedOn w:val="af"/>
    <w:rsid w:val="00FD19B4"/>
    <w:pPr>
      <w:widowControl w:val="0"/>
      <w:ind w:left="283" w:hanging="283"/>
      <w:jc w:val="left"/>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FD19B4"/>
    <w:pPr>
      <w:keepNext w:val="0"/>
      <w:keepLines w:val="0"/>
      <w:spacing w:before="240"/>
      <w:ind w:left="0" w:firstLine="0"/>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spacing w:before="120" w:after="120"/>
    </w:pPr>
    <w:rPr>
      <w:rFonts w:eastAsia="MS Mincho"/>
      <w:b/>
      <w:lang w:eastAsia="ja-JP"/>
    </w:rPr>
  </w:style>
  <w:style w:type="paragraph" w:customStyle="1" w:styleId="TableofFigures2">
    <w:name w:val="Table of Figures2"/>
    <w:basedOn w:val="a0"/>
    <w:next w:val="a0"/>
    <w:rsid w:val="00292864"/>
    <w:pPr>
      <w:ind w:left="400" w:hanging="400"/>
      <w:jc w:val="center"/>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rFonts w:ascii="Times New Roman" w:eastAsia="宋体" w:hAnsi="Times New Roman"/>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spacing w:before="120" w:after="120"/>
    </w:pPr>
    <w:rPr>
      <w:rFonts w:eastAsia="MS Mincho"/>
      <w:b/>
      <w:lang w:eastAsia="ja-JP"/>
    </w:rPr>
  </w:style>
  <w:style w:type="paragraph" w:customStyle="1" w:styleId="TableofFigures3">
    <w:name w:val="Table of Figures3"/>
    <w:basedOn w:val="a0"/>
    <w:next w:val="a0"/>
    <w:rsid w:val="00B47796"/>
    <w:pPr>
      <w:ind w:left="400" w:hanging="400"/>
      <w:jc w:val="center"/>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semiHidden/>
    <w:unhideWhenUsed/>
    <w:qFormat/>
    <w:rsid w:val="00B4779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3GPP">
    <w:name w:val="3GPP 正文"/>
    <w:basedOn w:val="a0"/>
    <w:link w:val="3GPPChar"/>
    <w:qFormat/>
    <w:rsid w:val="00B47796"/>
    <w:rPr>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uiPriority w:val="20"/>
    <w:qFormat/>
    <w:rsid w:val="00B47796"/>
    <w:rPr>
      <w:i/>
      <w:iCs/>
    </w:rPr>
  </w:style>
  <w:style w:type="character" w:styleId="aff3">
    <w:name w:val="Intense Emphasis"/>
    <w:uiPriority w:val="21"/>
    <w:qFormat/>
    <w:rsid w:val="00B47796"/>
    <w:rPr>
      <w:i/>
      <w:iCs/>
      <w:color w:val="5B9BD5" w:themeColor="accent1"/>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spacing w:before="240" w:after="0"/>
      <w:ind w:left="3238"/>
      <w:jc w:val="left"/>
    </w:pPr>
    <w:rPr>
      <w:rFonts w:eastAsia="宋体"/>
      <w:sz w:val="24"/>
      <w:szCs w:val="20"/>
      <w:lang w:val="en-GB"/>
    </w:rPr>
  </w:style>
  <w:style w:type="paragraph" w:customStyle="1" w:styleId="References">
    <w:name w:val="References"/>
    <w:basedOn w:val="a0"/>
    <w:next w:val="a0"/>
    <w:rsid w:val="00B47796"/>
    <w:pPr>
      <w:tabs>
        <w:tab w:val="num" w:pos="502"/>
      </w:tabs>
      <w:snapToGrid w:val="0"/>
      <w:spacing w:after="60"/>
      <w:ind w:left="502" w:hanging="360"/>
    </w:pPr>
    <w:rPr>
      <w:szCs w:val="16"/>
      <w:lang w:val="en-US"/>
    </w:rPr>
  </w:style>
  <w:style w:type="paragraph" w:customStyle="1" w:styleId="aff4">
    <w:name w:val="参考文献"/>
    <w:basedOn w:val="a0"/>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B477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rsid w:val="00B47796"/>
    <w:pPr>
      <w:numPr>
        <w:numId w:val="5"/>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spacing w:after="240"/>
      <w:jc w:val="both"/>
    </w:pPr>
    <w:rPr>
      <w:rFonts w:ascii="Arial" w:eastAsia="Times New Roman" w:hAnsi="Arial"/>
      <w:b/>
      <w:sz w:val="24"/>
      <w:lang w:eastAsia="zh-CN"/>
    </w:rPr>
  </w:style>
  <w:style w:type="paragraph" w:customStyle="1" w:styleId="IvDInstructiontext">
    <w:name w:val="IvD Instructiontext"/>
    <w:basedOn w:val="af"/>
    <w:link w:val="IvDInstructiontextChar"/>
    <w:uiPriority w:val="99"/>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jc w:val="center"/>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themeColor="text1" w:themeTint="A5"/>
    </w:rPr>
  </w:style>
  <w:style w:type="paragraph" w:customStyle="1" w:styleId="TB1">
    <w:name w:val="TB1"/>
    <w:basedOn w:val="a0"/>
    <w:rsid w:val="00B93165"/>
    <w:pPr>
      <w:keepNext/>
      <w:keepLines/>
      <w:numPr>
        <w:numId w:val="7"/>
      </w:numPr>
      <w:tabs>
        <w:tab w:val="left" w:pos="720"/>
      </w:tabs>
      <w:spacing w:after="0"/>
      <w:ind w:left="737" w:hanging="380"/>
    </w:pPr>
    <w:rPr>
      <w:rFonts w:ascii="Arial" w:eastAsia="Times New Roman" w:hAnsi="Arial"/>
      <w:sz w:val="18"/>
    </w:rPr>
  </w:style>
  <w:style w:type="paragraph" w:customStyle="1" w:styleId="TB2">
    <w:name w:val="TB2"/>
    <w:basedOn w:val="a0"/>
    <w:rsid w:val="00B93165"/>
    <w:pPr>
      <w:keepNext/>
      <w:keepLines/>
      <w:numPr>
        <w:numId w:val="8"/>
      </w:numPr>
      <w:tabs>
        <w:tab w:val="left" w:pos="1109"/>
      </w:tabs>
      <w:spacing w:after="0"/>
      <w:ind w:left="1100" w:hanging="380"/>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aff8">
    <w:name w:val="標準"/>
    <w:rsid w:val="0067616A"/>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2608">
      <w:bodyDiv w:val="1"/>
      <w:marLeft w:val="0"/>
      <w:marRight w:val="0"/>
      <w:marTop w:val="0"/>
      <w:marBottom w:val="0"/>
      <w:divBdr>
        <w:top w:val="none" w:sz="0" w:space="0" w:color="auto"/>
        <w:left w:val="none" w:sz="0" w:space="0" w:color="auto"/>
        <w:bottom w:val="none" w:sz="0" w:space="0" w:color="auto"/>
        <w:right w:val="none" w:sz="0" w:space="0" w:color="auto"/>
      </w:divBdr>
    </w:div>
    <w:div w:id="146869057">
      <w:bodyDiv w:val="1"/>
      <w:marLeft w:val="0"/>
      <w:marRight w:val="0"/>
      <w:marTop w:val="0"/>
      <w:marBottom w:val="0"/>
      <w:divBdr>
        <w:top w:val="none" w:sz="0" w:space="0" w:color="auto"/>
        <w:left w:val="none" w:sz="0" w:space="0" w:color="auto"/>
        <w:bottom w:val="none" w:sz="0" w:space="0" w:color="auto"/>
        <w:right w:val="none" w:sz="0" w:space="0" w:color="auto"/>
      </w:divBdr>
    </w:div>
    <w:div w:id="236287162">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50910530">
      <w:bodyDiv w:val="1"/>
      <w:marLeft w:val="0"/>
      <w:marRight w:val="0"/>
      <w:marTop w:val="0"/>
      <w:marBottom w:val="0"/>
      <w:divBdr>
        <w:top w:val="none" w:sz="0" w:space="0" w:color="auto"/>
        <w:left w:val="none" w:sz="0" w:space="0" w:color="auto"/>
        <w:bottom w:val="none" w:sz="0" w:space="0" w:color="auto"/>
        <w:right w:val="none" w:sz="0" w:space="0" w:color="auto"/>
      </w:divBdr>
      <w:divsChild>
        <w:div w:id="533077421">
          <w:marLeft w:val="547"/>
          <w:marRight w:val="0"/>
          <w:marTop w:val="154"/>
          <w:marBottom w:val="0"/>
          <w:divBdr>
            <w:top w:val="none" w:sz="0" w:space="0" w:color="auto"/>
            <w:left w:val="none" w:sz="0" w:space="0" w:color="auto"/>
            <w:bottom w:val="none" w:sz="0" w:space="0" w:color="auto"/>
            <w:right w:val="none" w:sz="0" w:space="0" w:color="auto"/>
          </w:divBdr>
        </w:div>
      </w:divsChild>
    </w:div>
    <w:div w:id="357974315">
      <w:bodyDiv w:val="1"/>
      <w:marLeft w:val="0"/>
      <w:marRight w:val="0"/>
      <w:marTop w:val="0"/>
      <w:marBottom w:val="0"/>
      <w:divBdr>
        <w:top w:val="none" w:sz="0" w:space="0" w:color="auto"/>
        <w:left w:val="none" w:sz="0" w:space="0" w:color="auto"/>
        <w:bottom w:val="none" w:sz="0" w:space="0" w:color="auto"/>
        <w:right w:val="none" w:sz="0" w:space="0" w:color="auto"/>
      </w:divBdr>
    </w:div>
    <w:div w:id="360858540">
      <w:bodyDiv w:val="1"/>
      <w:marLeft w:val="0"/>
      <w:marRight w:val="0"/>
      <w:marTop w:val="0"/>
      <w:marBottom w:val="0"/>
      <w:divBdr>
        <w:top w:val="none" w:sz="0" w:space="0" w:color="auto"/>
        <w:left w:val="none" w:sz="0" w:space="0" w:color="auto"/>
        <w:bottom w:val="none" w:sz="0" w:space="0" w:color="auto"/>
        <w:right w:val="none" w:sz="0" w:space="0" w:color="auto"/>
      </w:divBdr>
    </w:div>
    <w:div w:id="381251506">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397022496">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46009342">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13762970">
      <w:bodyDiv w:val="1"/>
      <w:marLeft w:val="0"/>
      <w:marRight w:val="0"/>
      <w:marTop w:val="0"/>
      <w:marBottom w:val="0"/>
      <w:divBdr>
        <w:top w:val="none" w:sz="0" w:space="0" w:color="auto"/>
        <w:left w:val="none" w:sz="0" w:space="0" w:color="auto"/>
        <w:bottom w:val="none" w:sz="0" w:space="0" w:color="auto"/>
        <w:right w:val="none" w:sz="0" w:space="0" w:color="auto"/>
      </w:divBdr>
    </w:div>
    <w:div w:id="877816083">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52117393">
      <w:bodyDiv w:val="1"/>
      <w:marLeft w:val="0"/>
      <w:marRight w:val="0"/>
      <w:marTop w:val="0"/>
      <w:marBottom w:val="0"/>
      <w:divBdr>
        <w:top w:val="none" w:sz="0" w:space="0" w:color="auto"/>
        <w:left w:val="none" w:sz="0" w:space="0" w:color="auto"/>
        <w:bottom w:val="none" w:sz="0" w:space="0" w:color="auto"/>
        <w:right w:val="none" w:sz="0" w:space="0" w:color="auto"/>
      </w:divBdr>
    </w:div>
    <w:div w:id="1052995144">
      <w:bodyDiv w:val="1"/>
      <w:marLeft w:val="0"/>
      <w:marRight w:val="0"/>
      <w:marTop w:val="0"/>
      <w:marBottom w:val="0"/>
      <w:divBdr>
        <w:top w:val="none" w:sz="0" w:space="0" w:color="auto"/>
        <w:left w:val="none" w:sz="0" w:space="0" w:color="auto"/>
        <w:bottom w:val="none" w:sz="0" w:space="0" w:color="auto"/>
        <w:right w:val="none" w:sz="0" w:space="0" w:color="auto"/>
      </w:divBdr>
      <w:divsChild>
        <w:div w:id="48117338">
          <w:marLeft w:val="547"/>
          <w:marRight w:val="0"/>
          <w:marTop w:val="154"/>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7410620">
      <w:bodyDiv w:val="1"/>
      <w:marLeft w:val="0"/>
      <w:marRight w:val="0"/>
      <w:marTop w:val="0"/>
      <w:marBottom w:val="0"/>
      <w:divBdr>
        <w:top w:val="none" w:sz="0" w:space="0" w:color="auto"/>
        <w:left w:val="none" w:sz="0" w:space="0" w:color="auto"/>
        <w:bottom w:val="none" w:sz="0" w:space="0" w:color="auto"/>
        <w:right w:val="none" w:sz="0" w:space="0" w:color="auto"/>
      </w:divBdr>
    </w:div>
    <w:div w:id="1114056994">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00781576">
      <w:bodyDiv w:val="1"/>
      <w:marLeft w:val="0"/>
      <w:marRight w:val="0"/>
      <w:marTop w:val="0"/>
      <w:marBottom w:val="0"/>
      <w:divBdr>
        <w:top w:val="none" w:sz="0" w:space="0" w:color="auto"/>
        <w:left w:val="none" w:sz="0" w:space="0" w:color="auto"/>
        <w:bottom w:val="none" w:sz="0" w:space="0" w:color="auto"/>
        <w:right w:val="none" w:sz="0" w:space="0" w:color="auto"/>
      </w:divBdr>
    </w:div>
    <w:div w:id="1213036721">
      <w:bodyDiv w:val="1"/>
      <w:marLeft w:val="0"/>
      <w:marRight w:val="0"/>
      <w:marTop w:val="0"/>
      <w:marBottom w:val="0"/>
      <w:divBdr>
        <w:top w:val="none" w:sz="0" w:space="0" w:color="auto"/>
        <w:left w:val="none" w:sz="0" w:space="0" w:color="auto"/>
        <w:bottom w:val="none" w:sz="0" w:space="0" w:color="auto"/>
        <w:right w:val="none" w:sz="0" w:space="0" w:color="auto"/>
      </w:divBdr>
    </w:div>
    <w:div w:id="1252395026">
      <w:bodyDiv w:val="1"/>
      <w:marLeft w:val="0"/>
      <w:marRight w:val="0"/>
      <w:marTop w:val="0"/>
      <w:marBottom w:val="0"/>
      <w:divBdr>
        <w:top w:val="none" w:sz="0" w:space="0" w:color="auto"/>
        <w:left w:val="none" w:sz="0" w:space="0" w:color="auto"/>
        <w:bottom w:val="none" w:sz="0" w:space="0" w:color="auto"/>
        <w:right w:val="none" w:sz="0" w:space="0" w:color="auto"/>
      </w:divBdr>
      <w:divsChild>
        <w:div w:id="359164687">
          <w:marLeft w:val="547"/>
          <w:marRight w:val="0"/>
          <w:marTop w:val="154"/>
          <w:marBottom w:val="0"/>
          <w:divBdr>
            <w:top w:val="none" w:sz="0" w:space="0" w:color="auto"/>
            <w:left w:val="none" w:sz="0" w:space="0" w:color="auto"/>
            <w:bottom w:val="none" w:sz="0" w:space="0" w:color="auto"/>
            <w:right w:val="none" w:sz="0" w:space="0" w:color="auto"/>
          </w:divBdr>
        </w:div>
      </w:divsChild>
    </w:div>
    <w:div w:id="1323966556">
      <w:bodyDiv w:val="1"/>
      <w:marLeft w:val="0"/>
      <w:marRight w:val="0"/>
      <w:marTop w:val="0"/>
      <w:marBottom w:val="0"/>
      <w:divBdr>
        <w:top w:val="none" w:sz="0" w:space="0" w:color="auto"/>
        <w:left w:val="none" w:sz="0" w:space="0" w:color="auto"/>
        <w:bottom w:val="none" w:sz="0" w:space="0" w:color="auto"/>
        <w:right w:val="none" w:sz="0" w:space="0" w:color="auto"/>
      </w:divBdr>
    </w:div>
    <w:div w:id="1324048360">
      <w:bodyDiv w:val="1"/>
      <w:marLeft w:val="0"/>
      <w:marRight w:val="0"/>
      <w:marTop w:val="0"/>
      <w:marBottom w:val="0"/>
      <w:divBdr>
        <w:top w:val="none" w:sz="0" w:space="0" w:color="auto"/>
        <w:left w:val="none" w:sz="0" w:space="0" w:color="auto"/>
        <w:bottom w:val="none" w:sz="0" w:space="0" w:color="auto"/>
        <w:right w:val="none" w:sz="0" w:space="0" w:color="auto"/>
      </w:divBdr>
    </w:div>
    <w:div w:id="1425415480">
      <w:bodyDiv w:val="1"/>
      <w:marLeft w:val="0"/>
      <w:marRight w:val="0"/>
      <w:marTop w:val="0"/>
      <w:marBottom w:val="0"/>
      <w:divBdr>
        <w:top w:val="none" w:sz="0" w:space="0" w:color="auto"/>
        <w:left w:val="none" w:sz="0" w:space="0" w:color="auto"/>
        <w:bottom w:val="none" w:sz="0" w:space="0" w:color="auto"/>
        <w:right w:val="none" w:sz="0" w:space="0" w:color="auto"/>
      </w:divBdr>
    </w:div>
    <w:div w:id="1444111303">
      <w:bodyDiv w:val="1"/>
      <w:marLeft w:val="0"/>
      <w:marRight w:val="0"/>
      <w:marTop w:val="0"/>
      <w:marBottom w:val="0"/>
      <w:divBdr>
        <w:top w:val="none" w:sz="0" w:space="0" w:color="auto"/>
        <w:left w:val="none" w:sz="0" w:space="0" w:color="auto"/>
        <w:bottom w:val="none" w:sz="0" w:space="0" w:color="auto"/>
        <w:right w:val="none" w:sz="0" w:space="0" w:color="auto"/>
      </w:divBdr>
    </w:div>
    <w:div w:id="1501654464">
      <w:bodyDiv w:val="1"/>
      <w:marLeft w:val="0"/>
      <w:marRight w:val="0"/>
      <w:marTop w:val="0"/>
      <w:marBottom w:val="0"/>
      <w:divBdr>
        <w:top w:val="none" w:sz="0" w:space="0" w:color="auto"/>
        <w:left w:val="none" w:sz="0" w:space="0" w:color="auto"/>
        <w:bottom w:val="none" w:sz="0" w:space="0" w:color="auto"/>
        <w:right w:val="none" w:sz="0" w:space="0" w:color="auto"/>
      </w:divBdr>
      <w:divsChild>
        <w:div w:id="1343434315">
          <w:marLeft w:val="1166"/>
          <w:marRight w:val="0"/>
          <w:marTop w:val="125"/>
          <w:marBottom w:val="0"/>
          <w:divBdr>
            <w:top w:val="none" w:sz="0" w:space="0" w:color="auto"/>
            <w:left w:val="none" w:sz="0" w:space="0" w:color="auto"/>
            <w:bottom w:val="none" w:sz="0" w:space="0" w:color="auto"/>
            <w:right w:val="none" w:sz="0" w:space="0" w:color="auto"/>
          </w:divBdr>
        </w:div>
        <w:div w:id="462769300">
          <w:marLeft w:val="1166"/>
          <w:marRight w:val="0"/>
          <w:marTop w:val="125"/>
          <w:marBottom w:val="0"/>
          <w:divBdr>
            <w:top w:val="none" w:sz="0" w:space="0" w:color="auto"/>
            <w:left w:val="none" w:sz="0" w:space="0" w:color="auto"/>
            <w:bottom w:val="none" w:sz="0" w:space="0" w:color="auto"/>
            <w:right w:val="none" w:sz="0" w:space="0" w:color="auto"/>
          </w:divBdr>
        </w:div>
        <w:div w:id="677928299">
          <w:marLeft w:val="1166"/>
          <w:marRight w:val="0"/>
          <w:marTop w:val="125"/>
          <w:marBottom w:val="0"/>
          <w:divBdr>
            <w:top w:val="none" w:sz="0" w:space="0" w:color="auto"/>
            <w:left w:val="none" w:sz="0" w:space="0" w:color="auto"/>
            <w:bottom w:val="none" w:sz="0" w:space="0" w:color="auto"/>
            <w:right w:val="none" w:sz="0" w:space="0" w:color="auto"/>
          </w:divBdr>
        </w:div>
        <w:div w:id="2031952175">
          <w:marLeft w:val="1166"/>
          <w:marRight w:val="0"/>
          <w:marTop w:val="125"/>
          <w:marBottom w:val="0"/>
          <w:divBdr>
            <w:top w:val="none" w:sz="0" w:space="0" w:color="auto"/>
            <w:left w:val="none" w:sz="0" w:space="0" w:color="auto"/>
            <w:bottom w:val="none" w:sz="0" w:space="0" w:color="auto"/>
            <w:right w:val="none" w:sz="0" w:space="0" w:color="auto"/>
          </w:divBdr>
        </w:div>
        <w:div w:id="95290625">
          <w:marLeft w:val="1166"/>
          <w:marRight w:val="0"/>
          <w:marTop w:val="125"/>
          <w:marBottom w:val="0"/>
          <w:divBdr>
            <w:top w:val="none" w:sz="0" w:space="0" w:color="auto"/>
            <w:left w:val="none" w:sz="0" w:space="0" w:color="auto"/>
            <w:bottom w:val="none" w:sz="0" w:space="0" w:color="auto"/>
            <w:right w:val="none" w:sz="0" w:space="0" w:color="auto"/>
          </w:divBdr>
        </w:div>
        <w:div w:id="1568998451">
          <w:marLeft w:val="1166"/>
          <w:marRight w:val="0"/>
          <w:marTop w:val="125"/>
          <w:marBottom w:val="0"/>
          <w:divBdr>
            <w:top w:val="none" w:sz="0" w:space="0" w:color="auto"/>
            <w:left w:val="none" w:sz="0" w:space="0" w:color="auto"/>
            <w:bottom w:val="none" w:sz="0" w:space="0" w:color="auto"/>
            <w:right w:val="none" w:sz="0" w:space="0" w:color="auto"/>
          </w:divBdr>
        </w:div>
        <w:div w:id="32077868">
          <w:marLeft w:val="1800"/>
          <w:marRight w:val="0"/>
          <w:marTop w:val="106"/>
          <w:marBottom w:val="0"/>
          <w:divBdr>
            <w:top w:val="none" w:sz="0" w:space="0" w:color="auto"/>
            <w:left w:val="none" w:sz="0" w:space="0" w:color="auto"/>
            <w:bottom w:val="none" w:sz="0" w:space="0" w:color="auto"/>
            <w:right w:val="none" w:sz="0" w:space="0" w:color="auto"/>
          </w:divBdr>
        </w:div>
      </w:divsChild>
    </w:div>
    <w:div w:id="1502963506">
      <w:bodyDiv w:val="1"/>
      <w:marLeft w:val="0"/>
      <w:marRight w:val="0"/>
      <w:marTop w:val="0"/>
      <w:marBottom w:val="0"/>
      <w:divBdr>
        <w:top w:val="none" w:sz="0" w:space="0" w:color="auto"/>
        <w:left w:val="none" w:sz="0" w:space="0" w:color="auto"/>
        <w:bottom w:val="none" w:sz="0" w:space="0" w:color="auto"/>
        <w:right w:val="none" w:sz="0" w:space="0" w:color="auto"/>
      </w:divBdr>
    </w:div>
    <w:div w:id="1602639143">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19875914">
      <w:bodyDiv w:val="1"/>
      <w:marLeft w:val="0"/>
      <w:marRight w:val="0"/>
      <w:marTop w:val="0"/>
      <w:marBottom w:val="0"/>
      <w:divBdr>
        <w:top w:val="none" w:sz="0" w:space="0" w:color="auto"/>
        <w:left w:val="none" w:sz="0" w:space="0" w:color="auto"/>
        <w:bottom w:val="none" w:sz="0" w:space="0" w:color="auto"/>
        <w:right w:val="none" w:sz="0" w:space="0" w:color="auto"/>
      </w:divBdr>
    </w:div>
    <w:div w:id="1840001152">
      <w:bodyDiv w:val="1"/>
      <w:marLeft w:val="0"/>
      <w:marRight w:val="0"/>
      <w:marTop w:val="0"/>
      <w:marBottom w:val="0"/>
      <w:divBdr>
        <w:top w:val="none" w:sz="0" w:space="0" w:color="auto"/>
        <w:left w:val="none" w:sz="0" w:space="0" w:color="auto"/>
        <w:bottom w:val="none" w:sz="0" w:space="0" w:color="auto"/>
        <w:right w:val="none" w:sz="0" w:space="0" w:color="auto"/>
      </w:divBdr>
    </w:div>
    <w:div w:id="1946577151">
      <w:bodyDiv w:val="1"/>
      <w:marLeft w:val="0"/>
      <w:marRight w:val="0"/>
      <w:marTop w:val="0"/>
      <w:marBottom w:val="0"/>
      <w:divBdr>
        <w:top w:val="none" w:sz="0" w:space="0" w:color="auto"/>
        <w:left w:val="none" w:sz="0" w:space="0" w:color="auto"/>
        <w:bottom w:val="none" w:sz="0" w:space="0" w:color="auto"/>
        <w:right w:val="none" w:sz="0" w:space="0" w:color="auto"/>
      </w:divBdr>
    </w:div>
    <w:div w:id="199256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9BB4A-2445-4976-9940-9011564B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dcterms:created xsi:type="dcterms:W3CDTF">2020-08-04T10:30:00Z</dcterms:created>
  <dcterms:modified xsi:type="dcterms:W3CDTF">2020-08-07T13:33:00Z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(3)bUw2ZwVwO+hGwptx9j+yKPf5+FBIIoJR3LDbYHVkqKxbjqLnrX1hpjsqM13p0uzSoutGPxtm
+kbPS94SValjHriBxUIutB0PBnSgI4tlR/Is2xnII58zXsAQz0dVwKtWPvPIOitpBWRhynO+
PvLK6s/McQPiAVhnlDS0M5X4f2HVxdoc5HClU/s6XDkmY6Au5tj1ak653AyBUlXbsNPoJ6WL
mzwT0RNsscDxUJBIVm</vt:lpwstr>
  </property>
  <property fmtid="{D5CDD505-2E9C-101B-9397-08002B2CF9AE}" pid="3" name="_2015_ms_pID_7253431">
    <vt:lpwstr>eRWDdIr39XHf51WUqY1AUwb6Be1gIzpKFEigZRkPIxcl8enBeH+RM9
D8j9kwNbK03tEMC7J8bkB9n0SPIjpZm2QnY1B5waSeuQaMGhF6JqVRG/RhVTkaoQeo9CQGrr
UNDm8/1xHTfZA6nwXsIvApwwOB/MDXrsHEVtDjINVUlTh5/CscXudG60Q+xCljshG6Z2FaOq
msvEtQdncEWvKaghb0uDyW/+4fdYIrC1LkQA</vt:lpwstr>
  </property>
  <property fmtid="{D5CDD505-2E9C-101B-9397-08002B2CF9AE}" pid="4" name="_2015_ms_pID_7253432">
    <vt:lpwstr>dbUg6FF7BglKw19zBu+yI6Y=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